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525623500" name="Picture">
</wp:docPr>
                  <a:graphic>
                    <a:graphicData uri="http://schemas.openxmlformats.org/drawingml/2006/picture">
                      <pic:pic>
                        <pic:nvPicPr>
                          <pic:cNvPr id="1525623500"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424.22.00135 Сервисные контракты на сетевое и серверное оборудование</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286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60%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1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1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Юридические риски с учётом предложенных условий договора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w:t>
                        </w:r>
                      </w:p>
                    </w:tc>
                  </w:tr>
                </w:tbl>
                <w:p>
                  <w:pPr>
                    <w:pStyle w:val="EMPTY_CELL_STYLE"/>
                  </w:pPr>
                </w:p>
              </w:tc>
            </w:tr>
            <w:tr>
              <w:trPr>
                <w:trHeight w:hRule="exact" w:val="22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22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3.2.1</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96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4.3.2.  Присвоение баллов заявкам по критерию 3.2 Юридические риски с учётом предложенных условий договора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(с учетом значимости) по подкритериям критерия 3.2 Юридические риски с учётом предложенных условий договора;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сумма баллов по соответствующим подкритериям критерия 3.2;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значимость каждого подкритерия критерия 3.2.</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23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5" w:name="JR_PAGE_ANCHOR_0_6"/>
            <w:bookmarkEnd w:id="5"/>
          </w:p>
        </w:tc>
        <w:tc>
          <w:tcPr>
     </w:tcPr>
          <w:p>
            <w:pPr>
              <w:pStyle w:val="EMPTY_CELL_STYLE"/>
            </w:pPr>
          </w:p>
        </w:tc>
        <w:tc>
          <w:tcPr>
     </w:tcPr>
          <w:p>
            <w:pPr>
              <w:pStyle w:val="EMPTY_CELL_STYLE"/>
            </w:pPr>
          </w:p>
        </w:tc>
      </w:tr>
      <w:tr>
        <w:trPr>
          <w:trHeight w:hRule="atLeast" w:val="24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424.22.00135</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424.22.00135</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424.22.00135</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424.22.00135</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6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50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50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44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Непредставление документов, установленных требованиями Закупочной документации и/или представление документов не соответствующих требованиям Закупочной документации и/или представление документов, не подтверждающих соответствие участника требованиям Закупочной документации (за исключением документов, указанных при описании оценки 2 балла). Отсутствие участника в Едином реестре СМСП или информации об участнике как о плательщике налога на профессиональный доход (при закупке у СМСП)</w:t>
                          <w:br/>
                          <w:t xml:space="preserve">1 балл - Не используется для оценки</w:t>
                          <w:br/>
                          <w:t xml:space="preserve">2 балла - Не представление участником справок (одной или обоих) о крупности и/или заинтересованности сделок или представление участником справок (одной или обоих) о крупности и/или заинтересованности сделок не соответствующих требованиям  Закупочной документации и/или законодательству РФ; не представление действующей версии Устава</w:t>
                          <w:br/>
                          <w:t xml:space="preserve">3 балла - Участник/предложение участника соответствует требованиям Закупочной документации. Приемлемые риски</w:t>
                          <w:br/>
                          <w:t xml:space="preserve">От 4 до 5 баллов  - диапапзон не используется для оценки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424.22.00135</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48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30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0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4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br/>
                          <w:t xml:space="preserve">2 балла - Не используется для оценки</w:t>
                          <w:br/>
                          <w:t xml:space="preserve">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