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a3"/>
        <w:tabs>
          <w:tab w:val="left" w:pos="1134"/>
          <w:tab w:val="left" w:pos="1766"/>
        </w:tabs>
        <w:ind w:left="0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ПЕРЕЧЕНЬ ДОКУМЕНТОВ ДЛЯ ЗАКЛЮЧЕНИЯ ДОГОВОРА ЭНЕРГОСНАБЖЕНИЯ С ИСПОЛНИТЕЛЯМИ КОММУНАЛЬНЫХ УСЛУГ (УПРАВЛЯЮЩИЕ ОРГАНИЗАЦИИ, ТОВАРИЩЕСТВА СОБСТВЕННИКОВ ЖИЛЬЯ, ЖИЛИЩНЫЕ КООПЕРАТИВЫ И ИНЫЕ СПЕЦИАЛИЗИРОВАННЫЕ ПОТРЕБИТЕЛЬСКИЕ КООПЕРАТИВЫ)</w:t>
      </w:r>
    </w:p>
    <w:p>
      <w:pPr>
        <w:pStyle w:val="a3"/>
        <w:tabs>
          <w:tab w:val="left" w:pos="993"/>
          <w:tab w:val="left" w:pos="1766"/>
        </w:tabs>
        <w:ind w:left="709"/>
        <w:jc w:val="both"/>
        <w:rPr>
          <w:rFonts w:ascii="Liberation Serif" w:hAnsi="Liberation Serif" w:cs="Liberation Serif" w:eastAsiaTheme="minorHAnsi"/>
          <w:color w:val="000000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4"/>
        <w:gridCol w:w="2018"/>
        <w:gridCol w:w="1399"/>
        <w:gridCol w:w="559"/>
        <w:gridCol w:w="335"/>
        <w:gridCol w:w="2199"/>
        <w:gridCol w:w="2291"/>
      </w:tblGrid>
      <w:tr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 w:eastAsiaTheme="minorHAnsi"/>
                <w:b/>
                <w:color w:val="000000"/>
                <w:lang w:eastAsia="en-US"/>
              </w:rPr>
              <w:t xml:space="preserve">№ п/п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ind w:firstLine="708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>
              <w:rPr>
                <w:rFonts w:ascii="Liberation Serif" w:hAnsi="Liberation Serif" w:cs="Liberation Serif" w:eastAsiaTheme="minorHAnsi"/>
                <w:b/>
                <w:color w:val="000000"/>
                <w:lang w:eastAsia="en-US"/>
              </w:rPr>
              <w:t xml:space="preserve">Наименование документа</w:t>
            </w:r>
            <w:r>
              <w:rPr>
                <w:rFonts w:ascii="Liberation Serif" w:hAnsi="Liberation Serif" w:cs="Liberation Serif" w:eastAsiaTheme="minorHAnsi"/>
                <w:b/>
                <w:color w:val="000000"/>
                <w:vertAlign w:val="superscript"/>
                <w:lang w:eastAsia="en-US"/>
              </w:rPr>
              <w:t xml:space="preserve">1</w:t>
            </w:r>
            <w:r>
              <w:rPr>
                <w:rFonts w:eastAsiaTheme="minorHAnsi"/>
                <w:b/>
                <w:color w:val="000000"/>
                <w:vertAlign w:val="superscript"/>
                <w:lang w:eastAsia="en-US"/>
              </w:rPr>
              <w:t xml:space="preserve">, 6, 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 w:eastAsiaTheme="minorHAnsi"/>
                <w:b/>
                <w:color w:val="000000"/>
                <w:lang w:eastAsia="en-US"/>
              </w:rPr>
              <w:t xml:space="preserve">Обязательность предоставления</w:t>
            </w:r>
          </w:p>
        </w:tc>
      </w:tr>
      <w:t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</w:t>
            </w:r>
          </w:p>
        </w:tc>
        <w:tc>
          <w:tcPr>
            <w:tcW w:w="3468" w:type="dxa"/>
            <w:gridSpan w:val="2"/>
            <w:vMerge w:val="restart"/>
            <w:vAlign w:val="center"/>
          </w:tcPr>
          <w:p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Заявление о заключении соответствующего договора, содержащее обязательные реквизиты потребителя</w:t>
            </w:r>
          </w:p>
        </w:tc>
        <w:tc>
          <w:tcPr>
            <w:tcW w:w="3468" w:type="dxa"/>
            <w:gridSpan w:val="3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ЮЛ: полное наименование, основной государственный регистрационный номер и идентификационный номер налогоплательщика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</w:p>
        </w:tc>
      </w:tr>
      <w:t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468" w:type="dxa"/>
            <w:gridSpan w:val="2"/>
            <w:vMerge w:val="continu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</w:p>
        </w:tc>
        <w:tc>
          <w:tcPr>
            <w:tcW w:w="3468" w:type="dxa"/>
            <w:gridSpan w:val="3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ИП: </w:t>
            </w:r>
            <w:r>
              <w:rPr>
                <w:rFonts w:ascii="Liberation Serif" w:hAnsi="Liberation Serif" w:cs="Liberation Serif"/>
              </w:rPr>
              <w:t xml:space="preserve">фамилия, имя, отчество (при наличии) физического лица, серия, номер и дата выдачи паспорта или иного документа, удостоверяющего личность гражданина на территории Российской Федерации, адрес регистрации по месту жительства, основной государственный регистрационный номер индивидуального предпринимателя и идентификационный номер налогоплательщика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</w:p>
        </w:tc>
      </w:tr>
      <w:tr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</w:t>
            </w:r>
          </w:p>
        </w:tc>
        <w:tc>
          <w:tcPr>
            <w:tcW w:w="0" w:type="auto"/>
            <w:gridSpan w:val="5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Подписанный Заявителем проект договора энергоснабжения или протокол разногласий к проекту договора, форма которого размещена (опубликована) гарантирующим поставщиком в центре очного обслуживания и (или) на своём сайте в сети «Интернет»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Предоставляется по желанию Заявителя</w:t>
            </w:r>
          </w:p>
        </w:tc>
      </w:tr>
      <w:tr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</w:t>
            </w:r>
          </w:p>
        </w:tc>
        <w:tc>
          <w:tcPr>
            <w:tcW w:w="0" w:type="auto"/>
            <w:gridSpan w:val="5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Лицензия на осуществление предпринимательской деятельности по управлению многоквартирными домами и решение органа государственного жилищного надзора о внесении изменений в реестр лицензий субъекта Российской Федерации (для управляющих организаций)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</w:p>
        </w:tc>
      </w:tr>
      <w:t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</w:t>
            </w:r>
          </w:p>
        </w:tc>
        <w:tc>
          <w:tcPr>
            <w:tcW w:w="4590" w:type="dxa"/>
            <w:gridSpan w:val="4"/>
            <w:vMerge w:val="restart"/>
            <w:vAlign w:val="center"/>
          </w:tcPr>
          <w:p>
            <w:pPr>
              <w:tabs>
                <w:tab w:val="left" w:pos="1425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Документы, подтверждающие полномочия лица на подписание договора</w:t>
            </w:r>
          </w:p>
        </w:tc>
        <w:tc>
          <w:tcPr>
            <w:tcW w:w="2346" w:type="dxa"/>
          </w:tcPr>
          <w:p>
            <w:pPr>
              <w:tabs>
                <w:tab w:val="left" w:pos="1425"/>
              </w:tabs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Протокол (решение, приказ) или выписка из протокола (решения, приказа) о назначении руководителя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</w:p>
        </w:tc>
      </w:tr>
      <w:t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90" w:type="dxa"/>
            <w:gridSpan w:val="4"/>
            <w:vMerge w:val="continue"/>
          </w:tcPr>
          <w:p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346" w:type="dxa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Доверенность на подписание договора, если договор 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подписывает не руководитель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590" w:type="dxa"/>
            <w:gridSpan w:val="4"/>
            <w:vMerge w:val="continue"/>
          </w:tcPr>
          <w:p>
            <w:pPr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346" w:type="dxa"/>
          </w:tcPr>
          <w:p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 или гражданин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>
        <w:trPr>
          <w:trHeight w:val="636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5</w:t>
            </w:r>
          </w:p>
        </w:tc>
        <w:tc>
          <w:tcPr>
            <w:tcW w:w="2158" w:type="dxa"/>
            <w:vMerge w:val="restart"/>
            <w:vAlign w:val="center"/>
          </w:tcPr>
          <w:p>
            <w:pPr>
              <w:jc w:val="both"/>
              <w:rPr>
                <w:rFonts w:ascii="Liberation Serif" w:hAnsi="Liberation Serif" w:cs="Liberation Serif" w:eastAsiaTheme="minorHAnsi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Документы, подтверждающие наличие у Заявителя обязанности по содержанию общего имущества в многоквартирном доме и по предоставлению соответствующей коммунальной услуги потребителям или обязанности по содержанию общего имущества в многоквартирном доме</w:t>
            </w:r>
          </w:p>
          <w:p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43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Управляющая организация</w:t>
            </w:r>
          </w:p>
        </w:tc>
        <w:tc>
          <w:tcPr>
            <w:tcW w:w="2346" w:type="dxa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Если собственниками  помещений в многоквартирном доме в качестве способа управления выбрано управление управляющей организацией - 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обращается с заявлением, а также договор управления многоквартирным домом (если таковой заключён)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</w:p>
        </w:tc>
      </w:tr>
      <w:tr>
        <w:trPr>
          <w:trHeight w:val="633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58" w:type="dxa"/>
            <w:vMerge w:val="continue"/>
          </w:tcPr>
          <w:p>
            <w:pP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</w:p>
        </w:tc>
        <w:tc>
          <w:tcPr>
            <w:tcW w:w="2432" w:type="dxa"/>
            <w:gridSpan w:val="3"/>
            <w:vMerge w:val="continue"/>
          </w:tcPr>
          <w:p>
            <w:pP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</w:p>
        </w:tc>
        <w:tc>
          <w:tcPr>
            <w:tcW w:w="2346" w:type="dxa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Если управляющая организация выбрана по конкурсу уполномоченным органом государственной власти в случаях, предусмотренных жилищным законодательством РФ - протокол открытого конкурса по выбору управляющей организации и (или) договор управления многоквартирным домом (если таковой заключён)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>
        <w:trPr>
          <w:trHeight w:val="633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58" w:type="dxa"/>
            <w:vMerge w:val="continue"/>
          </w:tcPr>
          <w:p>
            <w:pP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</w:p>
        </w:tc>
        <w:tc>
          <w:tcPr>
            <w:tcW w:w="2432" w:type="dxa"/>
            <w:gridSpan w:val="3"/>
            <w:vMerge w:val="continue"/>
          </w:tcPr>
          <w:p>
            <w:pP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</w:p>
        </w:tc>
        <w:tc>
          <w:tcPr>
            <w:tcW w:w="2346" w:type="dxa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Если управляющая организация привлечена для управления многоквартирным домом товариществом или кооперативом - протокол общего собрания собственников помещений в многоквартирном доме, на котором принято решение о выборе управляющей организации и (или) договор управления многоквартирным домом, заключённый 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между товариществом или кооперативом и управляющей организацией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>
        <w:trPr>
          <w:trHeight w:val="633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58" w:type="dxa"/>
            <w:vMerge w:val="continue"/>
          </w:tcPr>
          <w:p>
            <w:pP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</w:p>
        </w:tc>
        <w:tc>
          <w:tcPr>
            <w:tcW w:w="2432" w:type="dxa"/>
            <w:gridSpan w:val="3"/>
            <w:vMerge w:val="continue"/>
          </w:tcPr>
          <w:p>
            <w:pP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</w:p>
        </w:tc>
        <w:tc>
          <w:tcPr>
            <w:tcW w:w="2346" w:type="dxa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Если управляющая организация привлечена для управления многоквартирным домом застройщиком – договор управления многоквартирным домом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>
        <w:trPr>
          <w:trHeight w:val="1861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58" w:type="dxa"/>
            <w:vMerge w:val="continue"/>
          </w:tcPr>
          <w:p>
            <w:pP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</w:p>
        </w:tc>
        <w:tc>
          <w:tcPr>
            <w:tcW w:w="243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 xml:space="preserve">ТСЖ, ЖК и иные специализированные потребительские кооперативы</w:t>
            </w:r>
          </w:p>
        </w:tc>
        <w:tc>
          <w:tcPr>
            <w:tcW w:w="2346" w:type="dxa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Протокол общего собрания собственников помещений в многоквартирном доме, в котором создано товарищество, или протокол общего собрания членов кооператива, в которых зафиксировано (отражено) решение о выборе в качестве способа управления многоквартирным домом управление соответственно товариществом или кооперативом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>
        <w:trPr>
          <w:trHeight w:val="1861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158" w:type="dxa"/>
            <w:vMerge w:val="continue"/>
          </w:tcPr>
          <w:p>
            <w:pP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</w:p>
        </w:tc>
        <w:tc>
          <w:tcPr>
            <w:tcW w:w="2432" w:type="dxa"/>
            <w:gridSpan w:val="3"/>
            <w:vMerge w:val="continue"/>
          </w:tcPr>
          <w:p>
            <w:pP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</w:p>
        </w:tc>
        <w:tc>
          <w:tcPr>
            <w:tcW w:w="2346" w:type="dxa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Устав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>
        <w:trPr>
          <w:trHeight w:val="345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6</w:t>
            </w:r>
          </w:p>
        </w:tc>
        <w:tc>
          <w:tcPr>
            <w:tcW w:w="4590" w:type="dxa"/>
            <w:gridSpan w:val="4"/>
            <w:vAlign w:val="center"/>
          </w:tcPr>
          <w:p>
            <w:pP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Документы, подтверждающие технологическое присоединение (в том числе и опосредованно)</w:t>
            </w:r>
          </w:p>
        </w:tc>
        <w:tc>
          <w:tcPr>
            <w:tcW w:w="2346" w:type="dxa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Акт о технологическом присоединении и (или) акт разграничения балансовой 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принадлежности электросетей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  <w:r>
              <w:rPr>
                <w:rFonts w:ascii="Liberation Serif" w:hAnsi="Liberation Serif" w:cs="Liberation Serif" w:eastAsiaTheme="minorHAnsi"/>
                <w:color w:val="000000"/>
                <w:vertAlign w:val="superscript"/>
                <w:lang w:eastAsia="en-US"/>
              </w:rPr>
              <w:t xml:space="preserve">2, 3</w:t>
            </w:r>
          </w:p>
        </w:tc>
      </w:tr>
      <w:tr>
        <w:trPr>
          <w:trHeight w:val="345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936" w:type="dxa"/>
            <w:gridSpan w:val="5"/>
            <w:vAlign w:val="center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Копия заключённого договора об осуществлении технологического присоединения к электрическим сетям сетевой организации соответствующих энергопринимающих устройств, в котором срок осуществления мероприятий по технологическому присоединению соответствующих энергопринимающих устройств на дату направления документов не истёк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 к предоставлению в случае заключения договора энергоснабжения до завершения процедуры технологического присоединения энергопринимающих устройств</w:t>
            </w:r>
          </w:p>
        </w:tc>
      </w:tr>
      <w:tr>
        <w:trPr>
          <w:trHeight w:val="345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7</w:t>
            </w:r>
          </w:p>
        </w:tc>
        <w:tc>
          <w:tcPr>
            <w:tcW w:w="6936" w:type="dxa"/>
            <w:gridSpan w:val="5"/>
            <w:vAlign w:val="center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Документы об установке и приёме в эксплуатацию коллективного (общедомового) прибора учёта</w:t>
            </w:r>
            <w:r>
              <w:rPr>
                <w:rFonts w:ascii="Liberation Serif" w:hAnsi="Liberation Serif" w:cs="Liberation Serif" w:eastAsiaTheme="minorHAnsi"/>
                <w:color w:val="000000"/>
                <w:vertAlign w:val="superscript"/>
                <w:lang w:eastAsia="en-US"/>
              </w:rPr>
              <w:t xml:space="preserve"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Предоставляется при наличии у Заявителя прибора учёта</w:t>
            </w:r>
          </w:p>
        </w:tc>
      </w:tr>
      <w:tr>
        <w:trPr>
          <w:trHeight w:val="345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8</w:t>
            </w:r>
          </w:p>
        </w:tc>
        <w:tc>
          <w:tcPr>
            <w:tcW w:w="6936" w:type="dxa"/>
            <w:gridSpan w:val="5"/>
            <w:vAlign w:val="center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Документ, подтверждающий наличие технологической и (или) аварийной брони</w:t>
            </w:r>
            <w:r>
              <w:rPr>
                <w:rFonts w:ascii="Liberation Serif" w:hAnsi="Liberation Serif" w:cs="Liberation Serif" w:eastAsiaTheme="minorHAnsi"/>
                <w:color w:val="000000"/>
                <w:vertAlign w:val="superscript"/>
                <w:lang w:eastAsia="en-US"/>
              </w:rPr>
              <w:t xml:space="preserve"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Предоставляется при его наличии у Заявителя</w:t>
            </w:r>
          </w:p>
        </w:tc>
      </w:tr>
      <w:tr>
        <w:trPr>
          <w:trHeight w:val="305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9</w:t>
            </w:r>
          </w:p>
        </w:tc>
        <w:tc>
          <w:tcPr>
            <w:tcW w:w="4231" w:type="dxa"/>
            <w:gridSpan w:val="3"/>
            <w:vMerge w:val="restart"/>
            <w:vAlign w:val="center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Иные документы, необходимые для заключения договора оказания услуг по передаче электрической энергии в соответствии с Правилами недискриминационного доступа к услугам по передаче электрической энергии и оказания этих услуг</w:t>
            </w:r>
          </w:p>
        </w:tc>
        <w:tc>
          <w:tcPr>
            <w:tcW w:w="2705" w:type="dxa"/>
            <w:gridSpan w:val="2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Документы, подтверждающие величину максимальной мощности энергопринимающих устройств, в отношении которых Заявитель намерен заключить договор, с её распределением по точкам поставки  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</w:p>
        </w:tc>
      </w:tr>
      <w:tr>
        <w:trPr>
          <w:trHeight w:val="305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31" w:type="dxa"/>
            <w:gridSpan w:val="3"/>
            <w:vMerge w:val="continu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</w:p>
        </w:tc>
        <w:tc>
          <w:tcPr>
            <w:tcW w:w="2705" w:type="dxa"/>
            <w:gridSpan w:val="2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Однолинейная схема электрической сети Заявителя с указанием точек присоединения к объектам электросетевого хозяйства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</w:p>
        </w:tc>
      </w:tr>
      <w:tr>
        <w:trPr>
          <w:trHeight w:val="305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4231" w:type="dxa"/>
            <w:gridSpan w:val="3"/>
            <w:vMerge w:val="continue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</w:p>
        </w:tc>
        <w:tc>
          <w:tcPr>
            <w:tcW w:w="2705" w:type="dxa"/>
            <w:gridSpan w:val="2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Документы, содержащие описание приборов учёта, установленных в отношении энергопринимающих устройств, с указанием типов приборов учёта и их классов точности, мест их установки, заводских номеров, даты предыдущей и 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очередной государственной поверки, 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межповерочного</w:t>
            </w: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 интервала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Предоставляется при наличии у Заявителя приборов учёта и отсутствия указанных данных в акте допуска прибора учёта в эксплуатацию</w:t>
            </w:r>
          </w:p>
        </w:tc>
      </w:tr>
      <w:tr>
        <w:trPr>
          <w:trHeight w:val="305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10</w:t>
            </w:r>
          </w:p>
        </w:tc>
        <w:tc>
          <w:tcPr>
            <w:tcW w:w="6936" w:type="dxa"/>
            <w:gridSpan w:val="5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Документы, содержащие сведения о размере площади каждого жилого и нежилого помещения в многоквартирном доме, а также об общей площади помещений в многоквартирном доме, включая помещения, входящие в состав общего имущества в многоквартирном доме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</w:t>
            </w:r>
          </w:p>
        </w:tc>
      </w:tr>
      <w:tr>
        <w:trPr>
          <w:trHeight w:val="305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11</w:t>
            </w:r>
          </w:p>
        </w:tc>
        <w:tc>
          <w:tcPr>
            <w:tcW w:w="6936" w:type="dxa"/>
            <w:gridSpan w:val="5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Протокол общего собрания собственников помещений в многоквартирном доме, на котором принято решение о заключении собственниками помещений в многоквартирном доме договора электроснабжения с ресурсоснабжающей организацией (если такое решение принято)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Обязательно, если такое решение принято </w:t>
            </w:r>
          </w:p>
        </w:tc>
      </w:tr>
      <w:tr>
        <w:trPr>
          <w:trHeight w:val="305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12</w:t>
            </w:r>
          </w:p>
        </w:tc>
        <w:tc>
          <w:tcPr>
            <w:tcW w:w="6936" w:type="dxa"/>
            <w:gridSpan w:val="5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</w:p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 xml:space="preserve">Фамилия, имя, отчество (при наличии), дата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Обязательно, если представлен протокол, указанный в п. 11</w:t>
            </w:r>
          </w:p>
        </w:tc>
      </w:tr>
      <w:tr>
        <w:trPr>
          <w:trHeight w:val="305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936" w:type="dxa"/>
            <w:gridSpan w:val="5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 xml:space="preserve">Адреса жилых помещений в многоквартирном доме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расчёта платы за коммунальные услуги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</w:p>
        </w:tc>
      </w:tr>
      <w:tr>
        <w:trPr>
          <w:trHeight w:val="305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936" w:type="dxa"/>
            <w:gridSpan w:val="5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 xml:space="preserve">Сведения о наличии и типе установленных в жилых помещениях индивидуальных, общих (квартирных), комнатных приборов учёта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учёта, дате опломбирования приборов учёта, на основании показаний которых производится расчёт платы за коммунальные услуги, а также их показания за 12 расчётных периодов, предшествующих дате предоставления таких сведений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</w:p>
        </w:tc>
      </w:tr>
      <w:tr>
        <w:trPr>
          <w:trHeight w:val="305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936" w:type="dxa"/>
            <w:gridSpan w:val="5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 xml:space="preserve"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учёта в жилых помещениях многоквартирного дома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</w:p>
        </w:tc>
      </w:tr>
      <w:tr>
        <w:trPr>
          <w:trHeight w:val="305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936" w:type="dxa"/>
            <w:gridSpan w:val="5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</w:p>
        </w:tc>
      </w:tr>
      <w:tr>
        <w:trPr>
          <w:trHeight w:val="305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936" w:type="dxa"/>
            <w:gridSpan w:val="5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lang w:eastAsia="en-US"/>
              </w:rPr>
              <w:t xml:space="preserve">Сведения о жилых помещениях, в отношении которых введено ограничение или приостановление предоставления </w:t>
            </w:r>
            <w:r>
              <w:rPr>
                <w:rFonts w:ascii="Liberation Serif" w:hAnsi="Liberation Serif" w:cs="Liberation Serif" w:eastAsiaTheme="minorHAnsi"/>
                <w:lang w:eastAsia="en-US"/>
              </w:rPr>
              <w:t xml:space="preserve">коммунальной услуги по </w:t>
            </w:r>
            <w:r>
              <w:rPr>
                <w:rFonts w:ascii="Liberation Serif" w:hAnsi="Liberation Serif" w:cs="Liberation Serif"/>
              </w:rPr>
              <w:t xml:space="preserve">электроснабжению</w:t>
            </w:r>
            <w:r>
              <w:rPr>
                <w:rFonts w:ascii="Liberation Serif" w:hAnsi="Liberation Serif" w:cs="Liberation Serif" w:eastAsiaTheme="minorHAnsi"/>
                <w:lang w:eastAsia="en-US"/>
              </w:rPr>
              <w:t xml:space="preserve"> в случае неполной оплаты коммунальной услуги на дату предоставления сведений, а также сведения об устранении оснований для введения такого ограничения или приостановления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</w:p>
        </w:tc>
      </w:tr>
      <w:tr>
        <w:trPr>
          <w:trHeight w:val="305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936" w:type="dxa"/>
            <w:gridSpan w:val="5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lang w:eastAsia="en-US"/>
              </w:rPr>
              <w:t xml:space="preserve">Сведения о случаях, периодах и основаниях перерасчёта размера платы за коммунальную услугу по </w:t>
            </w:r>
            <w:r>
              <w:rPr>
                <w:rFonts w:ascii="Liberation Serif" w:hAnsi="Liberation Serif" w:cs="Liberation Serif"/>
              </w:rPr>
              <w:t xml:space="preserve">электроснабжению</w:t>
            </w:r>
            <w:r>
              <w:rPr>
                <w:rFonts w:ascii="Liberation Serif" w:hAnsi="Liberation Serif" w:cs="Liberation Serif" w:eastAsiaTheme="minorHAnsi"/>
                <w:lang w:eastAsia="en-US"/>
              </w:rPr>
              <w:t xml:space="preserve">, предоставленные потребителю, копии документов, подтверждающих право потребителя на перерасчёт размера платы в соответствии с </w:t>
            </w:r>
            <w:r>
              <w:rPr>
                <w:rFonts w:ascii="Liberation Serif" w:hAnsi="Liberation Serif" w:cs="Liberation Serif"/>
              </w:rPr>
              <w:t xml:space="preserve">Правилами предоставления коммунальных услуг собственникам и пользователям помещений в многоквартирных домах и жилых домов, утверждёнными постановлением Правительства Российской Федерации от 06.05.2011 г. № 354</w:t>
            </w:r>
            <w:r>
              <w:rPr>
                <w:rFonts w:ascii="Liberation Serif" w:hAnsi="Liberation Serif" w:cs="Liberation Serif" w:eastAsiaTheme="minorHAnsi"/>
                <w:lang w:eastAsia="en-US"/>
              </w:rPr>
              <w:t xml:space="preserve">, за предыдущие 12 месяцев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</w:p>
        </w:tc>
      </w:tr>
      <w:tr>
        <w:trPr>
          <w:trHeight w:val="305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6936" w:type="dxa"/>
            <w:gridSpan w:val="5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</w:rPr>
              <w:t xml:space="preserve">Реквизиты документов, подтверждающих право собственности на каждое жилое помещение в многоквартирном доме и (или) их копии (при их наличии)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</w:p>
        </w:tc>
      </w:tr>
      <w:tr>
        <w:trPr>
          <w:trHeight w:val="305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13</w:t>
            </w:r>
          </w:p>
        </w:tc>
        <w:tc>
          <w:tcPr>
            <w:tcW w:w="6936" w:type="dxa"/>
            <w:gridSpan w:val="5"/>
          </w:tcPr>
          <w:p>
            <w:pPr>
              <w:jc w:val="both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Акты осмотра/ввода индивидуальных приборов учёта в эксплуатацию с указанием типа, заводского номера, класса точности, номинального тока, номера пломбы, года поверки и показаний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</w:pPr>
            <w:r>
              <w:rPr>
                <w:rFonts w:ascii="Liberation Serif" w:hAnsi="Liberation Serif" w:cs="Liberation Serif" w:eastAsiaTheme="minorHAnsi"/>
                <w:color w:val="000000"/>
                <w:lang w:eastAsia="en-US"/>
              </w:rPr>
              <w:t xml:space="preserve">Обязательно, если представлен протокол, указанный в п. 11</w:t>
            </w:r>
          </w:p>
        </w:tc>
      </w:tr>
    </w:tbl>
    <w:p>
      <w:pPr>
        <w:pStyle w:val="a3"/>
        <w:tabs>
          <w:tab w:val="left" w:pos="1134"/>
          <w:tab w:val="left" w:pos="1766"/>
        </w:tabs>
        <w:ind w:left="0" w:firstLine="709"/>
        <w:jc w:val="both"/>
        <w:rPr>
          <w:rFonts w:ascii="Liberation Serif" w:hAnsi="Liberation Serif" w:cs="Liberation Serif"/>
        </w:rPr>
      </w:pPr>
    </w:p>
    <w:p>
      <w:pPr>
        <w:pStyle w:val="a3"/>
        <w:numPr>
          <w:numId w:val="1"/>
          <w:ilvl w:val="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Заявитель, в случае если прошло не более 3 лет со дня расторжения договора энергоснабжения (купли-продажи (поставки) электрической энергии (мощности)), ранее заключённого им с Обществом, с которым он имеет намерение заключить договор вновь, направляет Обществу заявление о заключении соответствующего договора с приложением документов, указанных в пунктах 2-5 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настоящего перечня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. Иные документы, в соответствии с настоящим перечнем, Заявитель предоставляет только в том случае, если они не были ранее предоставлены Обществу или в них были внесены изменения после их предоставления Обществу при заключении предыдущего договора. В этом случае при заключении договора Общество использует документы, имеющиеся у него в отношении соответствующей точки поставки потребителя.</w:t>
      </w:r>
    </w:p>
    <w:p>
      <w:pPr>
        <w:pStyle w:val="a3"/>
        <w:numPr>
          <w:numId w:val="1"/>
          <w:ilvl w:val="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Акт о технологическом присоединении и (или) Акт разграничения балансовой принадлежности электросетей не предоставляются в случаях отсутствия таких документов у Заявителя и наличия документов, подтверждающих факт обращения Заявителя к 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сетевой организации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 или иному владельцу объектов электросетевого хозяйства в целях получения таких документов, либо в случае направления документов, для заключения соответствующего договора до завершения процедуры технологического присоединения энергопринимающих устройств потребителя. </w:t>
      </w:r>
    </w:p>
    <w:p>
      <w:pPr>
        <w:pStyle w:val="a3"/>
        <w:numPr>
          <w:numId w:val="1"/>
          <w:ilvl w:val="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 Заявитель, в случае если 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сетевая организация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 или иной владелец объектов электросетевого хозяйства, к которым присоединены энергопринимающие устройства, в отношении которых подано заявление о заключении договора, отказывается или уклоняется от составления и предоставления заявителю документов, подтверждающих технологическое присоединение и (или) разграничение балансовой принадлежности, направляет Обществу заявление о заключении договора с приложением к нему документов, имеющихся у Заявителя на дату направления заявления, а также документов, подтверждающих факт обращения Заявителя к 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сетевой организации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 или иному владельцу объектов электросетевого хозяйства в целях получения таких документов.</w:t>
      </w:r>
    </w:p>
    <w:p>
      <w:pPr>
        <w:pStyle w:val="a3"/>
        <w:tabs>
          <w:tab w:val="left" w:pos="1134"/>
        </w:tabs>
        <w:ind w:left="0" w:firstLine="709"/>
        <w:jc w:val="both"/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Если подключение (технологическое присоединение) многоквартирного дома (жилого дома) к электросети осуществлено до 28.02.2006, документы, подтверждающие факт такого подключения, прилагаются к заявлению при их наличии.</w:t>
      </w:r>
    </w:p>
    <w:p>
      <w:pPr>
        <w:pStyle w:val="a3"/>
        <w:numPr>
          <w:numId w:val="1"/>
          <w:ilvl w:val="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Документом об установке и приёме в эксплуатацию приборов является акт допуска прибора учёта в эксплуатацию, составленный в соответствии с разделом X Основных положений, а если допуск в эксплуатацию прибора учёта был осуществлён до вступления в силу Основных положений, то документ, который подтверждал факт допуска в эксплуатацию прибора учёта, установленного в отношении соответствующей точки поставки, и был подписан гарантирующим поставщиком (энергосбытовой, энергоснабжающей организацией) и (или) 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сетевой организацией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.</w:t>
      </w:r>
    </w:p>
    <w:p>
      <w:pPr>
        <w:pStyle w:val="a3"/>
        <w:numPr>
          <w:numId w:val="1"/>
          <w:ilvl w:val="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 Документом, подтверждающим наличие технологической и (или) аварийной брони, является акт согласования технологической и (или) аварийной брони, составленный (изменённый) и согласованный в порядке, установленном Правилами недискриминационного доступа, потребителем и 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сетевой организацией</w:t>
      </w:r>
      <w:bookmarkStart w:id="0" w:name="_GoBack"/>
      <w:bookmarkEnd w:id="0"/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 (иным владельцем объектов электросетевого хозяйства, производителем электрической энергии (мощности)), к чьим объектам электросетевого хозяйства (энергетическим установкам) присоединены энергопринимающие устройства потребителя.</w:t>
      </w:r>
    </w:p>
    <w:p>
      <w:pPr>
        <w:pStyle w:val="a3"/>
        <w:tabs>
          <w:tab w:val="left" w:pos="1134"/>
        </w:tabs>
        <w:ind w:left="0" w:firstLine="709"/>
        <w:jc w:val="both"/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В случае если акт согласования технологической и (или) аварийной брони составлен (изменён) и согласован позднее даты заключения договора энергоснабжения (купли-продажи (поставки) электрической энергии (мощности)), то такой акт подлежит предоставлению гарантирующему поставщику в соответствии с требованиями 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абз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. 4 пункта 40 и 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абз</w:t>
      </w: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. 8 пункта 43 Основных положений. </w:t>
      </w:r>
    </w:p>
    <w:p>
      <w:pPr>
        <w:pStyle w:val="a3"/>
        <w:numPr>
          <w:numId w:val="1"/>
          <w:ilvl w:val="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 Документы, прилагаемые к заявлению о заключении договора, кроме проекта договора, подаются в виде копий, подписанных уполномоченным лицом Заявителя и заверенных печатью заявителя (при наличии печати), если Заявителем является юридическое лицо, или подписанных гражданином, если Заявителем выступает индивидуальный предприниматель.</w:t>
      </w:r>
    </w:p>
    <w:p>
      <w:pPr>
        <w:pStyle w:val="a3"/>
        <w:tabs>
          <w:tab w:val="left" w:pos="1134"/>
        </w:tabs>
        <w:ind w:left="0" w:firstLine="709"/>
        <w:jc w:val="both"/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Заявитель вправе представить копии таких документов, заверенные лицом, уполномоченным в соответствии с законодательством Российской Федерации на совершение действий по их заверению.</w:t>
      </w:r>
    </w:p>
    <w:p>
      <w:pPr>
        <w:pStyle w:val="a3"/>
        <w:numPr>
          <w:numId w:val="1"/>
          <w:ilvl w:val="0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 w:eastAsiaTheme="minorHAnsi"/>
          <w:color w:val="000000"/>
          <w:lang w:eastAsia="en-US"/>
        </w:rPr>
      </w:pPr>
      <w:r>
        <w:rPr>
          <w:rFonts w:ascii="Liberation Serif" w:hAnsi="Liberation Serif" w:cs="Liberation Serif" w:eastAsiaTheme="minorHAnsi"/>
          <w:color w:val="000000"/>
          <w:lang w:eastAsia="en-US"/>
        </w:rPr>
        <w:t xml:space="preserve">Заявитель при подаче заявления и документов в месте нахождения Общества вправе представить неподписанные и незаверенные копии документов, прилагаемых к заявлению, с одновременным предъявлением оригиналов таких документов. В этом случае в момент принятия заявления и документов от Заявителя Общество обязано произвести сверку идентичности копий и оригиналов представленных документов, после чего на копиях таких документов Обществом делаются отметки о соответствии подлинности копий документов оригиналам и оригиналы возвращаются Заявителю.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62C45024">
      <w:start w:val="1"/>
      <w:numFmt w:val="decimal"/>
      <w:lvlText w:val="%1)"/>
      <w:lvlJc w:val="left"/>
      <w:pPr>
        <w:ind w:left="1429" w:hanging="360"/>
      </w:pPr>
    </w:lvl>
    <w:lvl w:ilvl="1" w:tplc="0BCCD704">
      <w:start w:val="1"/>
      <w:numFmt w:val="lowerLetter"/>
      <w:lvlText w:val="%2."/>
      <w:lvlJc w:val="left"/>
      <w:pPr>
        <w:ind w:left="2149" w:hanging="360"/>
      </w:pPr>
    </w:lvl>
    <w:lvl w:ilvl="2" w:tplc="40B84AFE">
      <w:start w:val="1"/>
      <w:numFmt w:val="lowerRoman"/>
      <w:lvlText w:val="%3."/>
      <w:lvlJc w:val="right"/>
      <w:pPr>
        <w:ind w:left="2869" w:hanging="180"/>
      </w:pPr>
    </w:lvl>
    <w:lvl w:ilvl="3" w:tplc="7EAE3DE0">
      <w:start w:val="1"/>
      <w:numFmt w:val="decimal"/>
      <w:lvlText w:val="%4."/>
      <w:lvlJc w:val="left"/>
      <w:pPr>
        <w:ind w:left="3589" w:hanging="360"/>
      </w:pPr>
    </w:lvl>
    <w:lvl w:ilvl="4" w:tplc="200CE47A">
      <w:start w:val="1"/>
      <w:numFmt w:val="lowerLetter"/>
      <w:lvlText w:val="%5."/>
      <w:lvlJc w:val="left"/>
      <w:pPr>
        <w:ind w:left="4309" w:hanging="360"/>
      </w:pPr>
    </w:lvl>
    <w:lvl w:ilvl="5" w:tplc="BF2471C4">
      <w:start w:val="1"/>
      <w:numFmt w:val="lowerRoman"/>
      <w:lvlText w:val="%6."/>
      <w:lvlJc w:val="right"/>
      <w:pPr>
        <w:ind w:left="5029" w:hanging="180"/>
      </w:pPr>
    </w:lvl>
    <w:lvl w:ilvl="6" w:tplc="D7081016">
      <w:start w:val="1"/>
      <w:numFmt w:val="decimal"/>
      <w:lvlText w:val="%7."/>
      <w:lvlJc w:val="left"/>
      <w:pPr>
        <w:ind w:left="5749" w:hanging="360"/>
      </w:pPr>
    </w:lvl>
    <w:lvl w:ilvl="7" w:tplc="92DC9C86">
      <w:start w:val="1"/>
      <w:numFmt w:val="lowerLetter"/>
      <w:lvlText w:val="%8."/>
      <w:lvlJc w:val="left"/>
      <w:pPr>
        <w:ind w:left="6469" w:hanging="360"/>
      </w:pPr>
    </w:lvl>
    <w:lvl w:ilvl="8" w:tplc="71960BF6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11931</Characters>
  <CharactersWithSpaces>13997</CharactersWithSpaces>
  <Company/>
  <DocSecurity>0</DocSecurity>
  <HyperlinksChanged>false</HyperlinksChanged>
  <Lines>99</Lines>
  <LinksUpToDate>false</LinksUpToDate>
  <Pages>8</Pages>
  <Paragraphs>27</Paragraphs>
  <ScaleCrop>false</ScaleCrop>
  <SharedDoc>false</SharedDoc>
  <Template>Normal.dotm</Template>
  <TotalTime>5</TotalTime>
  <Words>2093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Мащенко Татьяна Николаевна</dc:creator>
  <cp:keywords/>
  <dc:description/>
  <cp:lastModifiedBy>Мащенко Татьяна Николаевна</cp:lastModifiedBy>
  <cp:revision>1</cp:revision>
  <dcterms:created xsi:type="dcterms:W3CDTF">2024-08-29T06:43:00Z</dcterms:created>
  <dcterms:modified xsi:type="dcterms:W3CDTF">2024-08-29T06:49:00Z</dcterms:modified>
</cp:coreProperties>
</file>