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ДОКУМЕНТОВ ДЛЯ ЗАКЛЮЧЕНИЯ ДОГОВОРА ЭНЕРГОСНАБЖЕНИЯ</w:t>
      </w:r>
    </w:p>
    <w:p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(купли-продажи электрической энергии)</w:t>
      </w:r>
    </w:p>
    <w:p/>
    <w:tbl>
      <w:tblPr>
        <w:tblStyle w:val="a4"/>
        <w:tblW w:w="9906" w:type="dxa"/>
        <w:tblLook w:val="04A0" w:firstRow="1" w:lastRow="0" w:firstColumn="1" w:lastColumn="0" w:noHBand="0" w:noVBand="1"/>
      </w:tblPr>
      <w:tblGrid>
        <w:gridCol w:w="560"/>
        <w:gridCol w:w="3237"/>
        <w:gridCol w:w="3711"/>
        <w:gridCol w:w="2398"/>
      </w:tblGrid>
      <w:tr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 w:eastAsiaTheme="minorHAnsi"/>
                <w:b/>
                <w:color w:val="000000"/>
                <w:lang w:eastAsia="en-US"/>
              </w:rPr>
              <w:t xml:space="preserve">№ п/п</w:t>
            </w:r>
          </w:p>
        </w:tc>
        <w:tc>
          <w:tcPr>
            <w:tcW w:w="6948" w:type="dxa"/>
            <w:gridSpan w:val="2"/>
            <w:vAlign w:val="center"/>
          </w:tcPr>
          <w:p>
            <w:pPr>
              <w:ind w:firstLine="708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 w:eastAsiaTheme="minorHAnsi"/>
                <w:b/>
                <w:color w:val="000000"/>
                <w:lang w:eastAsia="en-US"/>
              </w:rPr>
              <w:t xml:space="preserve">Наименование 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документа</w:t>
            </w:r>
            <w:r>
              <w:rPr>
                <w:rFonts w:eastAsiaTheme="minorHAnsi"/>
                <w:b/>
                <w:color w:val="000000"/>
                <w:vertAlign w:val="superscript"/>
                <w:lang w:eastAsia="en-US"/>
              </w:rPr>
              <w:t xml:space="preserve">1, 6, 7, 8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 w:eastAsiaTheme="minorHAnsi"/>
                <w:b/>
                <w:color w:val="000000"/>
                <w:lang w:eastAsia="en-US"/>
              </w:rPr>
              <w:t xml:space="preserve">Обязательность предоставления</w:t>
            </w:r>
          </w:p>
        </w:tc>
      </w:tr>
      <w:t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bookmarkStart w:id="0" w:name="_Hlk165540727"/>
            <w:bookmarkStart w:id="1" w:name="_Hlk165540573"/>
            <w:r>
              <w:rPr>
                <w:rFonts w:ascii="Liberation Serif" w:hAnsi="Liberation Serif" w:cs="Liberation Serif"/>
              </w:rPr>
              <w:t xml:space="preserve">1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Заявление о заключении соответствующего договора, содержащее обязательные реквизиты потребителя</w:t>
            </w:r>
          </w:p>
        </w:tc>
        <w:tc>
          <w:tcPr>
            <w:tcW w:w="3711" w:type="dxa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ЮЛ: полное наименование, основной государственный регистрационный номер и идентификационный номер налогоплательщика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vertAlign w:val="superscript"/>
                <w:lang w:val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bookmarkEnd w:id="0"/>
          </w:p>
        </w:tc>
      </w:tr>
      <w:t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  <w:tc>
          <w:tcPr>
            <w:tcW w:w="3711" w:type="dxa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ИП: </w:t>
            </w:r>
            <w:r>
              <w:rPr>
                <w:rFonts w:ascii="Liberation Serif" w:hAnsi="Liberation Serif" w:cs="Liberation Serif"/>
              </w:rPr>
              <w:t xml:space="preserve">фамилия, имя, отчество (при наличии) физического лица, серия, номер и дата выдачи паспорта или иного документа, удостоверяющего личность гражданина на территории Российской Федерации, адрес регистрации по месту жительства, основной государственный регистрационный номер индивидуального предпринимателя и идентификационный номер налогоплательщика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</w:tr>
      <w:t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  <w:tc>
          <w:tcPr>
            <w:tcW w:w="3711" w:type="dxa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ФЛ: </w:t>
            </w:r>
            <w:r>
              <w:rPr>
                <w:rFonts w:ascii="Liberation Serif" w:hAnsi="Liberation Serif" w:cs="Liberation Serif"/>
              </w:rPr>
              <w:t xml:space="preserve">фамилия, имя, отчество (при наличии), серия, номер и дата выдачи паспорта или иного документа, удостоверяющего личность гражданина на территории Российской Федерации, адрес регистрации по месту жительства, один из идентификаторов - идентификационный номер налогоплательщика или страховой номер индивидуального лицевого счета в системе индивидуального (персонифицированного) учета</w:t>
            </w:r>
            <w:bookmarkEnd w:id="1"/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</w:tr>
      <w:tr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</w:t>
            </w:r>
          </w:p>
        </w:tc>
        <w:tc>
          <w:tcPr>
            <w:tcW w:w="6948" w:type="dxa"/>
            <w:gridSpan w:val="2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Подписанный Заявителем проект договора энергоснабжения 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(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купли-продажи (поставки) электрической энергии (мощности))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или протокол разногласий к проекту договора, форма которого размещена (опубликована) гарантирующим поставщиком в центре очного обслуживания и (или) на своём сайте в сети «Интернет»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по желанию Заявителя</w:t>
            </w:r>
          </w:p>
        </w:tc>
      </w:tr>
      <w:tr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</w:t>
            </w:r>
          </w:p>
        </w:tc>
        <w:tc>
          <w:tcPr>
            <w:tcW w:w="6948" w:type="dxa"/>
            <w:gridSpan w:val="2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Почтовый адрес, контактные телефоны, факс, банковские реквизиты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при наличии у Заявителя</w:t>
            </w:r>
          </w:p>
        </w:tc>
      </w:tr>
      <w:tr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</w:t>
            </w:r>
          </w:p>
        </w:tc>
        <w:tc>
          <w:tcPr>
            <w:tcW w:w="6948" w:type="dxa"/>
            <w:gridSpan w:val="2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Номер мобильного телефона, адрес электронной почты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</w:p>
        </w:tc>
      </w:tr>
      <w:t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</w:t>
            </w:r>
          </w:p>
        </w:tc>
        <w:tc>
          <w:tcPr>
            <w:tcW w:w="3237" w:type="dxa"/>
            <w:vMerge w:val="restart"/>
            <w:vAlign w:val="center"/>
          </w:tcPr>
          <w:p>
            <w:pPr>
              <w:tabs>
                <w:tab w:val="left" w:pos="1425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полномочия лица на подписание договора</w:t>
            </w:r>
          </w:p>
        </w:tc>
        <w:tc>
          <w:tcPr>
            <w:tcW w:w="3711" w:type="dxa"/>
          </w:tcPr>
          <w:p>
            <w:pPr>
              <w:tabs>
                <w:tab w:val="left" w:pos="1425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Протокол (решение, приказ) или выписка из протокола (решения, приказа) о назначении руководителя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</w:p>
        </w:tc>
      </w:tr>
      <w:t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7" w:type="dxa"/>
            <w:vMerge w:val="continue"/>
          </w:tcPr>
          <w:p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711" w:type="dxa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Доверенность на подписание договора, если договор подписывает не руководитель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7" w:type="dxa"/>
            <w:vMerge w:val="continue"/>
          </w:tcPr>
          <w:p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711" w:type="dxa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>
        <w:trPr>
          <w:trHeight w:val="636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6</w:t>
            </w:r>
          </w:p>
        </w:tc>
        <w:tc>
          <w:tcPr>
            <w:tcW w:w="3237" w:type="dxa"/>
            <w:vMerge w:val="restart"/>
            <w:vAlign w:val="center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право собственности, аренды или иные права владения и (или) пользования, предусмотренные законодательством Российской Федерации, на энергопринимающие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</w:t>
            </w:r>
          </w:p>
        </w:tc>
        <w:tc>
          <w:tcPr>
            <w:tcW w:w="3711" w:type="dxa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Выписка из Единого государственного реестра недвижимости или Свидетельство о государственной регистрации права собственности на объекты недвижимого имущества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vertAlign w:val="superscript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</w:p>
        </w:tc>
      </w:tr>
      <w:tr>
        <w:trPr>
          <w:trHeight w:val="633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7" w:type="dxa"/>
            <w:vMerge w:val="continu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  <w:tc>
          <w:tcPr>
            <w:tcW w:w="3711" w:type="dxa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Выписка из Единого государственного реестра недвижимости или Свидетельство о праве хозяйственного ведения или оперативного управления для объектов нежилого фонда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>
        <w:trPr>
          <w:trHeight w:val="633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7" w:type="dxa"/>
            <w:vMerge w:val="continu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  <w:tc>
          <w:tcPr>
            <w:tcW w:w="3711" w:type="dxa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Договор аренды недвижимого имущества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>
        <w:trPr>
          <w:trHeight w:val="633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7" w:type="dxa"/>
            <w:vMerge w:val="continu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  <w:tc>
          <w:tcPr>
            <w:tcW w:w="3711" w:type="dxa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Иное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>
        <w:trPr>
          <w:trHeight w:val="1275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7</w:t>
            </w:r>
          </w:p>
        </w:tc>
        <w:tc>
          <w:tcPr>
            <w:tcW w:w="3237" w:type="dxa"/>
            <w:vAlign w:val="center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технологическое присоединение (в том числе и опосредованно)</w:t>
            </w:r>
          </w:p>
        </w:tc>
        <w:tc>
          <w:tcPr>
            <w:tcW w:w="3711" w:type="dxa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Акт о технологическом присоединении и (или) акт разграничения балансовой принадлежности электросетей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 w:eastAsiaTheme="minorHAnsi"/>
                <w:color w:val="000000"/>
                <w:vertAlign w:val="superscript"/>
                <w:lang w:eastAsia="en-US"/>
              </w:rPr>
              <w:t xml:space="preserve">2, 3</w:t>
            </w:r>
          </w:p>
        </w:tc>
      </w:tr>
      <w:tr>
        <w:trPr>
          <w:trHeight w:val="345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48" w:type="dxa"/>
            <w:gridSpan w:val="2"/>
            <w:vAlign w:val="center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Копия заключённого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не истёк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 к предоставлению в случае заключения договора энергоснабжения 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(купли-продажи (поставки) электрической энергии (мощности)) 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 завершения процедуры технологического присоединения энергопринимающих устройств</w:t>
            </w:r>
          </w:p>
        </w:tc>
      </w:tr>
      <w:tr>
        <w:trPr>
          <w:trHeight w:val="345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8</w:t>
            </w:r>
          </w:p>
        </w:tc>
        <w:tc>
          <w:tcPr>
            <w:tcW w:w="6948" w:type="dxa"/>
            <w:gridSpan w:val="2"/>
            <w:vAlign w:val="center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 о допуске в эксплуатацию приборов учёта</w:t>
            </w:r>
            <w:r>
              <w:rPr>
                <w:rFonts w:ascii="Liberation Serif" w:hAnsi="Liberation Serif" w:cs="Liberation Serif" w:eastAsiaTheme="minorHAnsi"/>
                <w:color w:val="000000"/>
                <w:vertAlign w:val="superscript"/>
                <w:lang w:eastAsia="en-US"/>
              </w:rPr>
              <w:t xml:space="preserve"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при наличии у Заявителя прибора учёта</w:t>
            </w:r>
          </w:p>
        </w:tc>
      </w:tr>
      <w:tr>
        <w:trPr>
          <w:trHeight w:val="345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9</w:t>
            </w:r>
          </w:p>
        </w:tc>
        <w:tc>
          <w:tcPr>
            <w:tcW w:w="6948" w:type="dxa"/>
            <w:gridSpan w:val="2"/>
            <w:vAlign w:val="center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Документ, подтверждающий наличие технологической и (или) аварийной брони</w:t>
            </w:r>
            <w:r>
              <w:rPr>
                <w:rFonts w:ascii="Liberation Serif" w:hAnsi="Liberation Serif" w:cs="Liberation Serif" w:eastAsiaTheme="minorHAnsi"/>
                <w:color w:val="000000"/>
                <w:vertAlign w:val="superscript"/>
                <w:lang w:eastAsia="en-US"/>
              </w:rPr>
              <w:t xml:space="preserve"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при его наличии у Заявителя</w:t>
            </w:r>
          </w:p>
        </w:tc>
      </w:tr>
      <w:tr>
        <w:trPr>
          <w:trHeight w:val="305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10</w:t>
            </w:r>
          </w:p>
        </w:tc>
        <w:tc>
          <w:tcPr>
            <w:tcW w:w="3237" w:type="dxa"/>
            <w:vMerge w:val="restart"/>
            <w:vAlign w:val="center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Иные документы,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</w:t>
            </w:r>
            <w:r>
              <w:rPr>
                <w:rFonts w:ascii="Liberation Serif" w:hAnsi="Liberation Serif" w:cs="Liberation Serif" w:eastAsiaTheme="minorHAnsi"/>
                <w:color w:val="000000"/>
                <w:vertAlign w:val="superscript"/>
                <w:lang w:eastAsia="en-US"/>
              </w:rPr>
              <w:t xml:space="preserve">9</w:t>
            </w:r>
          </w:p>
        </w:tc>
        <w:tc>
          <w:tcPr>
            <w:tcW w:w="3711" w:type="dxa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величину максимальной мощности энергопринимающих устройств, в отношении которых Заявитель намерен заключить договор, с её распределением по точкам поставки  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</w:p>
        </w:tc>
      </w:tr>
      <w:tr>
        <w:trPr>
          <w:trHeight w:val="305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7" w:type="dxa"/>
            <w:vMerge w:val="continu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  <w:tc>
          <w:tcPr>
            <w:tcW w:w="3711" w:type="dxa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Однолинейная схема электрической сети Заявителя с указанием точек присоединения к объектам электросетевого хозяйства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</w:p>
        </w:tc>
      </w:tr>
      <w:tr>
        <w:trPr>
          <w:trHeight w:val="305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7" w:type="dxa"/>
            <w:vMerge w:val="continu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  <w:tc>
          <w:tcPr>
            <w:tcW w:w="3711" w:type="dxa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содержащие описание приборов учёта, установленных в отношении энергопринимающих устройств, с указанием типов приборов учёта и их классов точности, мест их установки, заводских номеров, даты предыдущей и очередной государственной поверки, 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межповерочного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 интервала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при наличии у Заявителя приборов учёта и отсутствия указанных данных в акте допуска прибора учёта в эксплуатацию</w:t>
            </w:r>
          </w:p>
        </w:tc>
      </w:tr>
    </w:tbl>
    <w:p>
      <w:pPr>
        <w:ind w:firstLine="709"/>
        <w:jc w:val="both"/>
        <w:rPr>
          <w:rFonts w:ascii="Liberation Serif" w:hAnsi="Liberation Serif" w:cs="Liberation Serif"/>
        </w:rPr>
      </w:pPr>
    </w:p>
    <w:p>
      <w:pPr>
        <w:pStyle w:val="a3"/>
        <w:numPr>
          <w:numId w:val="1"/>
          <w:ilvl w:val="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Заявитель, в случае если прошло не более 3 лет со дня расторжения договора энергоснабжения (купли-продажи (поставки) электрической энергии (мощности)), ранее заключённого им с Обществом, с которым он имеет намерение заключить договор вновь, направляет Обществу заявление о заключении соответствующего договора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с приложением документов, указанных в пункт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ах 3-6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настоящего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п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еречня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. Иные документы, в соответствии с настоящим перечнем, Заявитель предоставляет только в том случае, если они не были ранее предоставлены в Общество или в них были внесены изменения после их предоставления Обществу при заключении предыдущего договора. В этом случае при заключении договора Общество использует документы, имеющиеся у неё в отношении соответствующей точки поставки потребителя.</w:t>
      </w:r>
    </w:p>
    <w:p>
      <w:pPr>
        <w:pStyle w:val="a3"/>
        <w:numPr>
          <w:numId w:val="1"/>
          <w:ilvl w:val="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Заявитель, в случае если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сетевая организация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или иной владелец объектов электросетевого хозяйства, к которым присоединены энергопринимающие устройства, в отношении которых подано заявление о заключении договора, отказывается или уклоняется от составления и предоставления Заявителю документов, подтверждающих технологическое присоединение и (или) разграничение балансовой принадлежности, направляет Обществу заявление о заключении договора с приложением к нему документов, имеющихся у Заявителя на дату направления заявления, а также документов, подтверждающих факт обращения Заявителя к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сетевой организации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или иному владельцу объектов электросетевого хозяйства в целях получения таких документов.</w:t>
      </w:r>
    </w:p>
    <w:p>
      <w:pPr>
        <w:pStyle w:val="a3"/>
        <w:numPr>
          <w:numId w:val="1"/>
          <w:ilvl w:val="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Акт о технологическом присоединении и (или) Акт разграничения балансовой принадлежности электросетей не предоставляются в случаях отсутствия таких документов у Заявителя и наличия документов, подтверждающих факт обращения Заявителя к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сетевой организации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или иному владельцу объектов электросетевого хозяйства в целях получения таких документов, либо в случае направления документов, для заключения соответствующего договора до завершения процедуры технологического присоединения энергопринимающих устройств потребителя.</w:t>
      </w:r>
    </w:p>
    <w:p>
      <w:pPr>
        <w:pStyle w:val="a3"/>
        <w:numPr>
          <w:numId w:val="1"/>
          <w:ilvl w:val="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Документом о допуске в эксплуатацию прибора учёта электрической энергии является акт допуска прибора учёта в эксплуатацию, составленный в соответствии с требованиями раздела X Основных положений функционирования розничных рынков электрической энергии, утверждённых постановлением Правительства РФ от 04.05.2012 № 442 (далее – Основные положения), а если допуск в эксплуатацию прибора учёта был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осуществлён до вступления в силу Основных положений, то документ, который подтверждал факт допуска в эксплуатацию прибора учёта, установленного в отношении соответствующей точки поставки, и был подписан гарантирующим поставщиком (энергосбытовой, энергоснабжающей организацией) и (или)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сетевой организацией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.</w:t>
      </w:r>
    </w:p>
    <w:p>
      <w:pPr>
        <w:pStyle w:val="a3"/>
        <w:numPr>
          <w:numId w:val="1"/>
          <w:ilvl w:val="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Документом, подтверждающим наличие технологической и (или) аварийной брони, является акт согласования технологической и (или) аварийной брони, составленный (изменённый) и согласованный в порядке, установленном Правилами недискриминационного доступа к услугам по передаче электрической энергии и оказания этих услуг, утверждёнными постановлением Правительства РФ от 27.12.2004 № 861 (далее - Правила недискриминационного доступа), потребителем и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сетевой организацией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(иным владельцем объектов электросетевого хозяйства, производителем электрической энергии (мощности)), к чьим объектам электросетевого хозяйства (энергетическим установкам) присоединены энергопринимающие устройства потребителя.</w:t>
      </w:r>
    </w:p>
    <w:p>
      <w:pPr>
        <w:pStyle w:val="a3"/>
        <w:tabs>
          <w:tab w:val="left" w:pos="1134"/>
        </w:tabs>
        <w:ind w:left="0" w:firstLine="851"/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В случае если акт согласования технологической и (или) аварийной брони составлен (изменён) и согласован позднее даты заключения договора энергоснабжения (купли-продажи (поставки) электрической энергии (мощности)), то такой акт подлежит предоставлению Обществу в соответствии с требованиями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абз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. 4 пункта 40 и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абз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. 8 пункта 43 Основных положений.</w:t>
      </w:r>
    </w:p>
    <w:p>
      <w:pPr>
        <w:pStyle w:val="a3"/>
        <w:numPr>
          <w:numId w:val="1"/>
          <w:ilvl w:val="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Документы, прилагаемые к заявлению о заключении договора, кроме проекта договора, подаются в виде копий, подписанных уполномоченным лицом Заявителя и заверенных печатью Заявителя (при наличии печати), если Заявителем является юридическое лицо, или подписанных гражданином, если заявителем выступает индивидуальный предприниматель.</w:t>
      </w:r>
    </w:p>
    <w:p>
      <w:pPr>
        <w:pStyle w:val="a3"/>
        <w:tabs>
          <w:tab w:val="left" w:pos="1134"/>
        </w:tabs>
        <w:ind w:left="0" w:firstLine="709"/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>
      <w:pPr>
        <w:pStyle w:val="a3"/>
        <w:numPr>
          <w:numId w:val="1"/>
          <w:ilvl w:val="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Заявитель при подаче заявления и документов в месте нахождения Общества вправе представить неподписанные и незаверенные копии документов, прилагаемых к заявлению, с одновременным предъявлением оригиналов таких документов. В этом случае в момент принятия заявления и документов от Заявителя Общество обязано произвести сверку идентичности копий и оригиналов представленных документов, после чего на копиях таких документов Обществом делаются отметки о соответствии подлинности копий документов оригиналам и оригиналы возвращаются Заявителю.</w:t>
      </w:r>
    </w:p>
    <w:p>
      <w:pPr>
        <w:pStyle w:val="a3"/>
        <w:numPr>
          <w:numId w:val="1"/>
          <w:ilvl w:val="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П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ри смене собственника энергопринимающего устройства Заявитель предоставляет документы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: </w:t>
      </w:r>
    </w:p>
    <w:p>
      <w:pPr>
        <w:pStyle w:val="a3"/>
        <w:numPr>
          <w:numId w:val="2"/>
          <w:ilvl w:val="0"/>
        </w:numPr>
        <w:tabs>
          <w:tab w:val="left" w:pos="1134"/>
        </w:tabs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в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случае заключения договора энергоснабжения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-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указанные в пунктах 3-6 и 10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настоящего перечня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. </w:t>
      </w:r>
    </w:p>
    <w:p>
      <w:pPr>
        <w:pStyle w:val="a3"/>
        <w:numPr>
          <w:numId w:val="2"/>
          <w:ilvl w:val="0"/>
        </w:numPr>
        <w:tabs>
          <w:tab w:val="left" w:pos="1134"/>
        </w:tabs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в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случае заключения договора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купли-продажи (поставки) электрической энергии (мощности) –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указанные в пунктах 3-6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настоящего перечня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.</w:t>
      </w:r>
    </w:p>
    <w:p>
      <w:pPr>
        <w:pStyle w:val="a3"/>
        <w:ind w:left="0" w:firstLine="709"/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Иные документы, в соответствии с настоящим перечнем, предоставляются по желанию Заявителя. Также Заявитель вправе предоставить показания приборов учета на дату перехода к нему права собственности на энергопринимающее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устройство, подписанные предыдущим собственником.</w:t>
      </w:r>
    </w:p>
    <w:p>
      <w:pPr>
        <w:pStyle w:val="a3"/>
        <w:numPr>
          <w:numId w:val="1"/>
          <w:ilvl w:val="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Иные документы, необходимые для заключ</w:t>
      </w:r>
      <w:bookmarkStart w:id="2" w:name="_GoBack"/>
      <w:bookmarkEnd w:id="2"/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</w:t>
      </w:r>
      <w:r>
        <w:rPr>
          <w:rFonts w:ascii="Liberation Serif" w:hAnsi="Liberation Serif" w:cs="Liberation Serif" w:eastAsiaTheme="minorHAnsi"/>
          <w:color w:val="000000"/>
          <w:vertAlign w:val="superscript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предоставляются Заявителем при заключении договора энергоснабжения.</w:t>
      </w:r>
    </w:p>
    <w:p/>
    <w:sect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ylfaen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2F761498">
      <w:start w:val="1"/>
      <w:numFmt w:val="decimal"/>
      <w:lvlText w:val="%1)"/>
      <w:lvlJc w:val="left"/>
      <w:pPr>
        <w:ind w:left="1429" w:hanging="360"/>
      </w:pPr>
    </w:lvl>
    <w:lvl w:ilvl="1" w:tplc="6BF04478">
      <w:start w:val="1"/>
      <w:numFmt w:val="lowerLetter"/>
      <w:lvlText w:val="%2."/>
      <w:lvlJc w:val="left"/>
      <w:pPr>
        <w:ind w:left="2149" w:hanging="360"/>
      </w:pPr>
    </w:lvl>
    <w:lvl w:ilvl="2" w:tplc="FC4A4056">
      <w:start w:val="1"/>
      <w:numFmt w:val="lowerRoman"/>
      <w:lvlText w:val="%3."/>
      <w:lvlJc w:val="right"/>
      <w:pPr>
        <w:ind w:left="2869" w:hanging="180"/>
      </w:pPr>
    </w:lvl>
    <w:lvl w:ilvl="3" w:tplc="8FC4C75E">
      <w:start w:val="1"/>
      <w:numFmt w:val="decimal"/>
      <w:lvlText w:val="%4."/>
      <w:lvlJc w:val="left"/>
      <w:pPr>
        <w:ind w:left="3589" w:hanging="360"/>
      </w:pPr>
    </w:lvl>
    <w:lvl w:ilvl="4" w:tplc="037CE76C">
      <w:start w:val="1"/>
      <w:numFmt w:val="lowerLetter"/>
      <w:lvlText w:val="%5."/>
      <w:lvlJc w:val="left"/>
      <w:pPr>
        <w:ind w:left="4309" w:hanging="360"/>
      </w:pPr>
    </w:lvl>
    <w:lvl w:ilvl="5" w:tplc="DACEACAA">
      <w:start w:val="1"/>
      <w:numFmt w:val="lowerRoman"/>
      <w:lvlText w:val="%6."/>
      <w:lvlJc w:val="right"/>
      <w:pPr>
        <w:ind w:left="5029" w:hanging="180"/>
      </w:pPr>
    </w:lvl>
    <w:lvl w:ilvl="6" w:tplc="6EDA3122">
      <w:start w:val="1"/>
      <w:numFmt w:val="decimal"/>
      <w:lvlText w:val="%7."/>
      <w:lvlJc w:val="left"/>
      <w:pPr>
        <w:ind w:left="5749" w:hanging="360"/>
      </w:pPr>
    </w:lvl>
    <w:lvl w:ilvl="7" w:tplc="62F4B9AC">
      <w:start w:val="1"/>
      <w:numFmt w:val="lowerLetter"/>
      <w:lvlText w:val="%8."/>
      <w:lvlJc w:val="left"/>
      <w:pPr>
        <w:ind w:left="6469" w:hanging="360"/>
      </w:pPr>
    </w:lvl>
    <w:lvl w:ilvl="8" w:tplc="6F326E9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 w:tplc="9A486932">
      <w:start w:val="1"/>
      <w:numFmt w:val="bullet"/>
      <w:lvlText w:val="-"/>
      <w:lvlJc w:val="left"/>
      <w:pPr>
        <w:ind w:left="1429" w:hanging="360"/>
      </w:pPr>
      <w:rPr>
        <w:rFonts w:hint="default" w:ascii="Sylfaen" w:hAnsi="Sylfaen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footnote text"/>
    <w:basedOn w:val="a"/>
    <w:link w:val="a6"/>
    <w:rPr>
      <w:sz w:val="20"/>
      <w:szCs w:val="20"/>
    </w:rPr>
  </w:style>
  <w:style w:type="character" w:styleId="a6" w:customStyle="1">
    <w:name w:val="Текст сноски Знак"/>
    <w:basedOn w:val="a0"/>
    <w:link w:val="a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7">
    <w:name w:val="footnote reference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8868</Characters>
  <CharactersWithSpaces>10403</CharactersWithSpaces>
  <Company/>
  <DocSecurity>0</DocSecurity>
  <HyperlinksChanged>false</HyperlinksChanged>
  <Lines>73</Lines>
  <LinksUpToDate>false</LinksUpToDate>
  <Pages>4</Pages>
  <Paragraphs>20</Paragraphs>
  <ScaleCrop>false</ScaleCrop>
  <SharedDoc>false</SharedDoc>
  <Template>Normal.dotm</Template>
  <TotalTime>151</TotalTime>
  <Words>1555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 Татьяна Николаевна</dc:creator>
  <cp:keywords/>
  <dc:description/>
  <cp:lastModifiedBy>Мащенко Татьяна Николаевна</cp:lastModifiedBy>
  <cp:revision>4</cp:revision>
  <dcterms:created xsi:type="dcterms:W3CDTF">2024-08-29T02:39:00Z</dcterms:created>
  <dcterms:modified xsi:type="dcterms:W3CDTF">2024-08-29T06:46:00Z</dcterms:modified>
</cp:coreProperties>
</file>