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365f91"/>
        </w:rPr>
      </w:pPr>
      <w:r>
        <w:rPr>
          <w:color w:val="365f91"/>
        </w:rPr>
      </w:r>
      <w:r>
        <w:rPr>
          <w:color w:val="365f91"/>
        </w:rPr>
      </w:r>
      <w:r>
        <w:rPr>
          <w:color w:val="365f91"/>
        </w:rPr>
      </w:r>
    </w:p>
    <w:p>
      <w:pPr>
        <w:rPr>
          <w:color w:val="365f91"/>
        </w:rPr>
      </w:pPr>
      <w:r>
        <w:rPr>
          <w:color w:val="365f91"/>
        </w:rPr>
      </w:r>
      <w:r>
        <w:rPr>
          <w:color w:val="365f91"/>
        </w:rPr>
      </w:r>
      <w:r>
        <w:rPr>
          <w:color w:val="365f91"/>
        </w:rPr>
      </w:r>
    </w:p>
    <w:p>
      <w:pPr>
        <w:rPr>
          <w:color w:val="365f91"/>
        </w:rPr>
      </w:pPr>
      <w:r>
        <w:rPr>
          <w:color w:val="365f91"/>
        </w:rPr>
        <w:t xml:space="preserve">«</w:t>
      </w:r>
      <w:r>
        <w:rPr>
          <w:color w:val="365f91"/>
        </w:rPr>
        <w:t xml:space="preserve">11»</w:t>
      </w:r>
      <w:r>
        <w:rPr>
          <w:color w:val="365f91"/>
        </w:rPr>
        <w:t xml:space="preserve"> </w:t>
      </w:r>
      <w:r>
        <w:rPr>
          <w:color w:val="365f91"/>
        </w:rPr>
        <w:t xml:space="preserve">марта </w:t>
      </w:r>
      <w:r>
        <w:rPr>
          <w:color w:val="365f91"/>
        </w:rPr>
        <w:t xml:space="preserve">2</w:t>
      </w:r>
      <w:r>
        <w:rPr>
          <w:color w:val="365f91"/>
        </w:rPr>
        <w:t xml:space="preserve">0</w:t>
      </w:r>
      <w:r>
        <w:rPr>
          <w:color w:val="365f91"/>
        </w:rPr>
        <w:t xml:space="preserve">2</w:t>
      </w:r>
      <w:r>
        <w:rPr>
          <w:color w:val="365f91"/>
        </w:rPr>
        <w:t xml:space="preserve">5 </w:t>
      </w:r>
      <w:r>
        <w:rPr>
          <w:color w:val="365f91"/>
        </w:rPr>
        <w:t xml:space="preserve">г.                                            </w:t>
      </w:r>
      <w:r>
        <w:rPr>
          <w:color w:val="365f91"/>
        </w:rPr>
        <w:t xml:space="preserve">                    </w:t>
      </w:r>
      <w:r>
        <w:rPr>
          <w:color w:val="365f91"/>
        </w:rPr>
        <w:t xml:space="preserve">              </w:t>
      </w:r>
      <w:r>
        <w:rPr>
          <w:color w:val="365f91"/>
        </w:rPr>
        <w:t xml:space="preserve">    </w:t>
      </w:r>
      <w:r>
        <w:rPr>
          <w:color w:val="365f91"/>
        </w:rPr>
        <w:t xml:space="preserve">          </w:t>
      </w:r>
      <w:r>
        <w:rPr>
          <w:color w:val="365f91"/>
        </w:rPr>
        <w:t xml:space="preserve">    </w:t>
      </w:r>
      <w:r>
        <w:rPr>
          <w:color w:val="365f91"/>
        </w:rPr>
        <w:t xml:space="preserve">     </w:t>
      </w:r>
      <w:r>
        <w:rPr>
          <w:color w:val="365f91"/>
        </w:rPr>
        <w:t xml:space="preserve">    </w:t>
      </w:r>
      <w:r>
        <w:rPr>
          <w:color w:val="365f91"/>
        </w:rPr>
        <w:t xml:space="preserve"> </w:t>
      </w:r>
      <w:r>
        <w:rPr>
          <w:color w:val="365f91"/>
        </w:rPr>
        <w:t xml:space="preserve">№</w:t>
      </w:r>
      <w:r>
        <w:rPr>
          <w:color w:val="365f91"/>
        </w:rPr>
        <w:t xml:space="preserve">2</w:t>
      </w:r>
      <w:r>
        <w:rPr>
          <w:color w:val="365f91"/>
        </w:rPr>
        <w:t xml:space="preserve">18047</w:t>
      </w:r>
      <w:r>
        <w:rPr>
          <w:color w:val="365f91"/>
        </w:rPr>
        <w:t xml:space="preserve">/</w:t>
      </w:r>
      <w:r>
        <w:rPr>
          <w:color w:val="365f91"/>
        </w:rPr>
        <w:t xml:space="preserve">УИ-1</w:t>
      </w:r>
      <w:r>
        <w:rPr>
          <w:color w:val="365f91"/>
        </w:rPr>
      </w:r>
      <w:r>
        <w:rPr>
          <w:color w:val="365f91"/>
        </w:rPr>
      </w:r>
    </w:p>
    <w:p>
      <w:pPr>
        <w:jc w:val="left"/>
        <w:rPr>
          <w:bCs/>
          <w:i/>
          <w:color w:val="ff0000"/>
        </w:rPr>
      </w:pPr>
      <w:r>
        <w:rPr>
          <w:i/>
          <w:color w:val="ff0000"/>
        </w:rPr>
      </w:r>
      <w:r>
        <w:rPr>
          <w:bCs/>
          <w:i/>
          <w:color w:val="ff0000"/>
        </w:rPr>
      </w:r>
      <w:r>
        <w:rPr>
          <w:bCs/>
          <w:i/>
          <w:color w:val="ff0000"/>
        </w:rPr>
      </w:r>
    </w:p>
    <w:p>
      <w:pPr>
        <w:jc w:val="center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  <w:r>
        <w:rPr>
          <w:i/>
          <w:color w:val="ff0000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</w:pPr>
      <w:r>
        <w:t xml:space="preserve"> о продлении сроков подачи заявок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contextualSpacing w:val="0"/>
        <w:ind w:left="0" w:right="0" w:firstLine="709"/>
        <w:jc w:val="both"/>
        <w:spacing w:before="60" w:after="60"/>
        <w:tabs>
          <w:tab w:val="clear" w:pos="0" w:leader="none"/>
          <w:tab w:val="num" w:pos="851" w:leader="none"/>
        </w:tabs>
        <w:rPr>
          <w:rFonts w:ascii="Liberation Serif" w:hAnsi="Liberation Serif" w:cs="Liberation Serif"/>
        </w:rPr>
        <w:outlineLvl w:val="0"/>
      </w:pPr>
      <w:r>
        <w:rPr>
          <w:lang w:eastAsia="en-US"/>
        </w:rPr>
        <w:tab/>
        <w:tab/>
        <w:t xml:space="preserve">В целях удовлетворения нужд Заказчика</w:t>
      </w:r>
      <w:r>
        <w:t xml:space="preserve"> </w:t>
      </w:r>
      <w:r>
        <w:rPr>
          <w:rFonts w:ascii="Liberation Serif" w:hAnsi="Liberation Serif" w:cs="Liberation Serif"/>
        </w:rPr>
        <w:t xml:space="preserve">АО «</w:t>
      </w:r>
      <w:r>
        <w:rPr>
          <w:rFonts w:ascii="Liberation Serif" w:hAnsi="Liberation Serif" w:cs="Liberation Serif"/>
        </w:rPr>
        <w:t xml:space="preserve">Томскэнергосбыт</w:t>
      </w:r>
      <w:r>
        <w:rPr>
          <w:rFonts w:ascii="Liberation Serif" w:hAnsi="Liberation Serif" w:cs="Liberation Serif"/>
        </w:rPr>
        <w:t xml:space="preserve">» (</w:t>
      </w:r>
      <w:r>
        <w:rPr>
          <w:rFonts w:ascii="Liberation Serif" w:hAnsi="Liberation Serif" w:cs="Liberation Serif"/>
          <w:sz w:val="24"/>
        </w:rPr>
        <w:t xml:space="preserve">г. Томск, ул. Котовского, 19.) </w:t>
      </w:r>
      <w:r>
        <w:rPr>
          <w:bCs/>
        </w:rPr>
        <w:t xml:space="preserve">Организатор закупки </w:t>
      </w:r>
      <w:r>
        <w:rPr>
          <w:bCs/>
        </w:rPr>
        <w:t xml:space="preserve">―</w:t>
      </w:r>
      <w:r>
        <w:rPr>
          <w:bCs/>
        </w:rPr>
        <w:t xml:space="preserve"> ООО «И</w:t>
      </w:r>
      <w:r>
        <w:rPr>
          <w:bCs/>
        </w:rPr>
        <w:t xml:space="preserve">нтер</w:t>
      </w:r>
      <w:r>
        <w:rPr>
          <w:bCs/>
        </w:rPr>
        <w:t xml:space="preserve"> РАО </w:t>
      </w:r>
      <w:r>
        <w:rPr>
          <w:bCs/>
        </w:rPr>
        <w:t xml:space="preserve">―</w:t>
      </w:r>
      <w:r>
        <w:rPr>
          <w:bCs/>
        </w:rPr>
        <w:t xml:space="preserve"> Центр управления закупками</w:t>
      </w:r>
      <w:r>
        <w:rPr>
          <w:bCs/>
        </w:rPr>
        <w:t xml:space="preserve">» (</w:t>
      </w:r>
      <w:r>
        <w:rPr>
          <w:lang w:eastAsia="en-US"/>
        </w:rPr>
        <w:t xml:space="preserve">119435, </w:t>
        <w:br/>
        <w:t xml:space="preserve">г. Москва, Б. </w:t>
      </w:r>
      <w:r>
        <w:rPr>
          <w:lang w:eastAsia="en-US"/>
        </w:rPr>
        <w:t xml:space="preserve">Пироговская</w:t>
      </w:r>
      <w:r>
        <w:rPr>
          <w:lang w:eastAsia="en-US"/>
        </w:rPr>
        <w:t xml:space="preserve"> улица, дом № 27, строение 3</w:t>
      </w:r>
      <w:r>
        <w:rPr>
          <w:bCs/>
        </w:rPr>
        <w:t xml:space="preserve">)</w:t>
      </w:r>
      <w:r>
        <w:t xml:space="preserve">, </w:t>
      </w:r>
      <w:r>
        <w:t xml:space="preserve">на основании </w:t>
      </w:r>
      <w:r>
        <w:t xml:space="preserve">Извещения </w:t>
      </w:r>
      <w:r>
        <w:t xml:space="preserve">по проведению открытого запроса цен в электронной форме </w:t>
      </w:r>
      <w:r>
        <w:t xml:space="preserve">на право заключения договора на поставку </w:t>
      </w:r>
      <w:r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Серверные источники бесперебойного питания</w:t>
      </w:r>
      <w:r>
        <w:rPr>
          <w:rFonts w:eastAsia="Calibri"/>
          <w:b w:val="0"/>
          <w:bCs w:val="0"/>
        </w:rPr>
        <w:t xml:space="preserve">,</w:t>
      </w:r>
      <w:r>
        <w:t xml:space="preserve"> </w:t>
      </w:r>
      <w:r>
        <w:t xml:space="preserve">настоящим сообщает</w:t>
      </w:r>
      <w:r>
        <w:t xml:space="preserve"> </w:t>
      </w:r>
      <w:r>
        <w:t xml:space="preserve">о продлении сроков подачи заявок.</w:t>
      </w:r>
      <w:r/>
      <w:r>
        <w:rPr>
          <w:rFonts w:ascii="Liberation Serif" w:hAnsi="Liberation Serif" w:cs="Liberation Serif"/>
        </w:rPr>
      </w:r>
    </w:p>
    <w:p>
      <w:pPr>
        <w:ind w:firstLine="708"/>
        <w:jc w:val="both"/>
      </w:pPr>
      <w:r/>
      <w:r/>
    </w:p>
    <w:p>
      <w:pPr>
        <w:ind w:firstLine="708"/>
        <w:jc w:val="both"/>
      </w:pPr>
      <w:r>
        <w:t xml:space="preserve">Пункты Извещения </w:t>
      </w:r>
      <w:r>
        <w:t xml:space="preserve">о проведении закупки</w:t>
      </w:r>
      <w:r>
        <w:t xml:space="preserve"> </w:t>
      </w:r>
      <w:r>
        <w:t xml:space="preserve">на право заключения договора</w:t>
      </w:r>
      <w:r>
        <w:t xml:space="preserve"> читать в следующей редакции:</w:t>
      </w:r>
      <w:r/>
    </w:p>
    <w:p>
      <w:pPr>
        <w:ind w:firstLine="708"/>
        <w:jc w:val="both"/>
      </w:pPr>
      <w:r>
        <w:rPr>
          <w:b/>
          <w:bCs/>
        </w:rPr>
        <w:t xml:space="preserve">П.21 Извещения</w:t>
      </w:r>
      <w:r/>
    </w:p>
    <w:p>
      <w:pPr>
        <w:ind w:firstLine="708"/>
        <w:jc w:val="both"/>
        <w:rPr>
          <w:highlight w:val="none"/>
        </w:rPr>
      </w:pPr>
      <w:r>
        <w:t xml:space="preserve">21.</w:t>
        <w:tab/>
        <w:t xml:space="preserve">Место подачи и срок окончания подачи заявок на участие в закупке: заявки на участие в закупке должны быть поданы </w:t>
      </w:r>
      <w:r>
        <w:rPr>
          <w:b/>
          <w:bCs/>
        </w:rPr>
        <w:t xml:space="preserve">до 14:00 (по московскому времени) «18» марта  2025 </w:t>
      </w:r>
      <w:r>
        <w:t xml:space="preserve">года через соответствующий функционал электронной торговой площадки, указанный в пункте</w:t>
      </w:r>
      <w:r>
        <w:t xml:space="preserve"> 3 Раздела 1 «Извещение о проведении закупки».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</w:pPr>
      <w:r>
        <w:rPr>
          <w:b/>
          <w:bCs/>
        </w:rPr>
        <w:t xml:space="preserve">П.23 Извещения</w:t>
      </w:r>
      <w:r>
        <w:rPr>
          <w:highlight w:val="none"/>
        </w:rPr>
      </w:r>
      <w:r/>
    </w:p>
    <w:p>
      <w:pPr>
        <w:ind w:firstLine="708"/>
        <w:jc w:val="both"/>
        <w:rPr>
          <w:b/>
          <w:bCs/>
          <w:highlight w:val="none"/>
        </w:rPr>
      </w:pPr>
      <w:r>
        <w:t xml:space="preserve">23.</w:t>
        <w:tab/>
        <w:t xml:space="preserve">Организатор закупки проведет процедуру вскрытия конвертов: </w:t>
      </w:r>
      <w:r>
        <w:rPr>
          <w:b/>
          <w:bCs/>
        </w:rPr>
        <w:t xml:space="preserve">«18» марта 2025 года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8"/>
        <w:jc w:val="both"/>
      </w:pPr>
      <w:r>
        <w:rPr>
          <w:b/>
          <w:bCs/>
        </w:rPr>
        <w:t xml:space="preserve">П.24 Извещения</w:t>
      </w:r>
      <w:r/>
    </w:p>
    <w:p>
      <w:pPr>
        <w:ind w:firstLine="708"/>
        <w:jc w:val="both"/>
        <w:rPr>
          <w:b/>
          <w:bCs/>
        </w:rPr>
      </w:pPr>
      <w:r>
        <w:t xml:space="preserve">24.</w:t>
        <w:tab/>
        <w:t xml:space="preserve">Дата рассмотрения предложений Участников закупки и подведения итогов закупки: </w:t>
      </w:r>
      <w:r>
        <w:rPr>
          <w:b/>
          <w:bCs/>
        </w:rPr>
        <w:t xml:space="preserve">до «06» мая 2025 года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</w:pPr>
      <w:r/>
      <w:r/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color w:val="548dd4"/>
          <w:sz w:val="16"/>
          <w:szCs w:val="16"/>
        </w:rPr>
        <w:outlineLvl w:val="0"/>
      </w:pPr>
      <w:r>
        <w:rPr>
          <w:sz w:val="16"/>
          <w:szCs w:val="16"/>
        </w:rPr>
        <w:t xml:space="preserve">Исп.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Селезнева Анна Алексеевна</w:t>
      </w:r>
      <w:r>
        <w:rPr>
          <w:color w:val="548dd4"/>
          <w:sz w:val="16"/>
          <w:szCs w:val="16"/>
        </w:rPr>
      </w:r>
      <w:r>
        <w:rPr>
          <w:color w:val="548dd4"/>
          <w:sz w:val="16"/>
          <w:szCs w:val="16"/>
        </w:rPr>
      </w:r>
    </w:p>
    <w:p>
      <w:pPr>
        <w:jc w:val="both"/>
        <w:rPr>
          <w:sz w:val="16"/>
          <w:szCs w:val="16"/>
        </w:rPr>
        <w:outlineLvl w:val="0"/>
      </w:pPr>
      <w:r>
        <w:rPr>
          <w:sz w:val="16"/>
          <w:szCs w:val="16"/>
        </w:rPr>
        <w:t xml:space="preserve">(495) 664-88-40 доб.</w:t>
      </w:r>
      <w:r>
        <w:rPr>
          <w:sz w:val="16"/>
          <w:szCs w:val="16"/>
        </w:rPr>
        <w:t xml:space="preserve">3284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color w:val="548dd4"/>
          <w:sz w:val="16"/>
          <w:szCs w:val="16"/>
        </w:rPr>
        <w:outlineLvl w:val="0"/>
      </w:pPr>
      <w:r/>
      <w:hyperlink r:id="rId16" w:tooltip="mailto:selezneva_aa@interrao.ru" w:history="1">
        <w:r>
          <w:rPr>
            <w:rStyle w:val="996"/>
            <w:sz w:val="16"/>
            <w:szCs w:val="16"/>
            <w:lang w:val="en-US"/>
          </w:rPr>
          <w:t xml:space="preserve">selezneva</w:t>
        </w:r>
        <w:r>
          <w:rPr>
            <w:rStyle w:val="996"/>
            <w:sz w:val="16"/>
            <w:szCs w:val="16"/>
          </w:rPr>
          <w:t xml:space="preserve">_</w:t>
        </w:r>
        <w:r>
          <w:rPr>
            <w:rStyle w:val="996"/>
            <w:sz w:val="16"/>
            <w:szCs w:val="16"/>
            <w:lang w:val="en-US"/>
          </w:rPr>
          <w:t xml:space="preserve">aa</w:t>
        </w:r>
        <w:r>
          <w:rPr>
            <w:rStyle w:val="996"/>
            <w:sz w:val="16"/>
            <w:szCs w:val="16"/>
          </w:rPr>
          <w:t xml:space="preserve">@</w:t>
        </w:r>
        <w:r>
          <w:rPr>
            <w:rStyle w:val="996"/>
            <w:sz w:val="16"/>
            <w:szCs w:val="16"/>
            <w:lang w:val="en-US"/>
          </w:rPr>
          <w:t xml:space="preserve">interrao</w:t>
        </w:r>
        <w:r>
          <w:rPr>
            <w:rStyle w:val="996"/>
            <w:sz w:val="16"/>
            <w:szCs w:val="16"/>
          </w:rPr>
          <w:t xml:space="preserve">.</w:t>
        </w:r>
        <w:r>
          <w:rPr>
            <w:rStyle w:val="996"/>
            <w:sz w:val="16"/>
            <w:szCs w:val="16"/>
            <w:lang w:val="en-US"/>
          </w:rPr>
          <w:t xml:space="preserve">ru</w:t>
        </w:r>
      </w:hyperlink>
      <w:r>
        <w:rPr>
          <w:color w:val="548dd4"/>
          <w:sz w:val="16"/>
          <w:szCs w:val="16"/>
        </w:rPr>
      </w:r>
      <w:r>
        <w:rPr>
          <w:color w:val="548dd4"/>
          <w:sz w:val="16"/>
          <w:szCs w:val="1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707" w:bottom="851" w:left="1134" w:header="142" w:footer="2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Helios">
    <w:panose1 w:val="020B0604020202020204"/>
  </w:font>
  <w:font w:name="HeliosCond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 xml:space="preserve">Общество с ограниченной ответственностью «Интер РАО – Центр управления закупками»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99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>
      <w:tblPrEx/>
      <w:trPr>
        <w:trHeight w:val="991"/>
      </w:trPr>
      <w:tc>
        <w:tcPr>
          <w:tcW w:w="11907" w:type="dxa"/>
          <w:vAlign w:val="center"/>
          <w:textDirection w:val="lrTb"/>
          <w:noWrap w:val="false"/>
        </w:tcPr>
        <w:p>
          <w:pPr>
            <w:jc w:val="center"/>
            <w:widowControl w:val="off"/>
            <w:tabs>
              <w:tab w:val="left" w:pos="907" w:leader="none"/>
              <w:tab w:val="left" w:pos="8931" w:leader="none"/>
            </w:tabs>
            <w:rPr>
              <w:lang w:eastAsia="en-US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162175" cy="695325"/>
                    <wp:effectExtent l="0" t="0" r="9525" b="9525"/>
                    <wp:docPr id="1" name="Рисунок 1" descr="Горизонтальный 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Горизонтальный 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6217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0.25pt;height:54.7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lang w:eastAsia="en-US"/>
            </w:rPr>
          </w:r>
          <w:r>
            <w:rPr>
              <w:lang w:eastAsia="en-US"/>
            </w:rPr>
          </w:r>
        </w:p>
      </w:tc>
    </w:tr>
    <w:tr>
      <w:tblPrEx/>
      <w:trPr>
        <w:trHeight w:val="707"/>
      </w:trPr>
      <w:tc>
        <w:tcPr>
          <w:tcW w:w="11907" w:type="dxa"/>
          <w:vAlign w:val="center"/>
          <w:textDirection w:val="lrTb"/>
          <w:noWrap w:val="false"/>
        </w:tcPr>
        <w:p>
          <w:pPr>
            <w:ind w:left="1168" w:right="1167"/>
            <w:jc w:val="center"/>
            <w:tabs>
              <w:tab w:val="left" w:pos="8931" w:leader="none"/>
            </w:tabs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Пироговская</w:t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r>
        </w:p>
        <w:p>
          <w:pPr>
            <w:jc w:val="center"/>
            <w:tabs>
              <w:tab w:val="left" w:pos="8931" w:leader="none"/>
            </w:tabs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Телефон: +7 (495) 664 8840, Факс: +7 (495) 664 8841</w:t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r>
        </w:p>
        <w:p>
          <w:pPr>
            <w:ind w:left="1168" w:right="1167"/>
            <w:jc w:val="center"/>
            <w:widowControl w:val="off"/>
            <w:tabs>
              <w:tab w:val="left" w:pos="8931" w:leader="none"/>
            </w:tabs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www.interrao-zakupki.ru</w:t>
          </w:r>
          <w:r>
            <w:rPr>
              <w:sz w:val="18"/>
              <w:szCs w:val="18"/>
              <w:lang w:eastAsia="en-US"/>
            </w:rPr>
          </w:r>
          <w:r>
            <w:rPr>
              <w:sz w:val="18"/>
              <w:szCs w:val="18"/>
              <w:lang w:eastAsia="en-US"/>
            </w:rPr>
          </w:r>
        </w:p>
      </w:tc>
    </w:tr>
  </w:tbl>
  <w:p>
    <w:pPr>
      <w:pStyle w:val="992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99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4" w:hanging="284"/>
        <w:tabs>
          <w:tab w:val="num" w:pos="0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77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en-US"/>
      </w:rPr>
    </w:lvl>
    <w:lvl w:ilvl="1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-77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-77" w:firstLine="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i w:val="0"/>
        <w:color w:val="1f497d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i w:val="0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i w:val="0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i w:val="0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b/>
        <w:i w:val="0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b/>
        <w:i w:val="0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12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>
    <w:name w:val="Heading 1"/>
    <w:basedOn w:val="988"/>
    <w:next w:val="988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>
    <w:name w:val="Heading 1 Char"/>
    <w:basedOn w:val="989"/>
    <w:link w:val="816"/>
    <w:uiPriority w:val="9"/>
    <w:rPr>
      <w:rFonts w:ascii="Arial" w:hAnsi="Arial" w:eastAsia="Arial" w:cs="Arial"/>
      <w:sz w:val="40"/>
      <w:szCs w:val="40"/>
    </w:rPr>
  </w:style>
  <w:style w:type="paragraph" w:styleId="818">
    <w:name w:val="Heading 2"/>
    <w:basedOn w:val="988"/>
    <w:next w:val="988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>
    <w:name w:val="Heading 2 Char"/>
    <w:basedOn w:val="989"/>
    <w:link w:val="818"/>
    <w:uiPriority w:val="9"/>
    <w:rPr>
      <w:rFonts w:ascii="Arial" w:hAnsi="Arial" w:eastAsia="Arial" w:cs="Arial"/>
      <w:sz w:val="34"/>
    </w:rPr>
  </w:style>
  <w:style w:type="paragraph" w:styleId="820">
    <w:name w:val="Heading 3"/>
    <w:basedOn w:val="988"/>
    <w:next w:val="988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1">
    <w:name w:val="Heading 3 Char"/>
    <w:basedOn w:val="989"/>
    <w:link w:val="820"/>
    <w:uiPriority w:val="9"/>
    <w:rPr>
      <w:rFonts w:ascii="Arial" w:hAnsi="Arial" w:eastAsia="Arial" w:cs="Arial"/>
      <w:sz w:val="30"/>
      <w:szCs w:val="30"/>
    </w:rPr>
  </w:style>
  <w:style w:type="paragraph" w:styleId="822">
    <w:name w:val="Heading 4"/>
    <w:basedOn w:val="988"/>
    <w:next w:val="988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>
    <w:name w:val="Heading 4 Char"/>
    <w:basedOn w:val="989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988"/>
    <w:next w:val="98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>
    <w:name w:val="Heading 5 Char"/>
    <w:basedOn w:val="989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>
    <w:name w:val="Heading 6"/>
    <w:basedOn w:val="988"/>
    <w:next w:val="988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7">
    <w:name w:val="Heading 6 Char"/>
    <w:basedOn w:val="989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988"/>
    <w:next w:val="988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7 Char"/>
    <w:basedOn w:val="989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988"/>
    <w:next w:val="98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>
    <w:name w:val="Heading 8 Char"/>
    <w:basedOn w:val="989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988"/>
    <w:next w:val="988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9 Char"/>
    <w:basedOn w:val="989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No Spacing"/>
    <w:uiPriority w:val="1"/>
    <w:qFormat/>
    <w:pPr>
      <w:spacing w:before="0" w:after="0" w:line="240" w:lineRule="auto"/>
    </w:pPr>
  </w:style>
  <w:style w:type="paragraph" w:styleId="835">
    <w:name w:val="Title"/>
    <w:basedOn w:val="988"/>
    <w:next w:val="988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>
    <w:name w:val="Title Char"/>
    <w:basedOn w:val="989"/>
    <w:link w:val="835"/>
    <w:uiPriority w:val="10"/>
    <w:rPr>
      <w:sz w:val="48"/>
      <w:szCs w:val="48"/>
    </w:rPr>
  </w:style>
  <w:style w:type="paragraph" w:styleId="837">
    <w:name w:val="Subtitle"/>
    <w:basedOn w:val="988"/>
    <w:next w:val="988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>
    <w:name w:val="Subtitle Char"/>
    <w:basedOn w:val="989"/>
    <w:link w:val="837"/>
    <w:uiPriority w:val="11"/>
    <w:rPr>
      <w:sz w:val="24"/>
      <w:szCs w:val="24"/>
    </w:rPr>
  </w:style>
  <w:style w:type="paragraph" w:styleId="839">
    <w:name w:val="Quote"/>
    <w:basedOn w:val="988"/>
    <w:next w:val="988"/>
    <w:link w:val="840"/>
    <w:uiPriority w:val="29"/>
    <w:qFormat/>
    <w:pPr>
      <w:ind w:left="720" w:right="720"/>
    </w:pPr>
    <w:rPr>
      <w:i/>
    </w:r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basedOn w:val="988"/>
    <w:next w:val="988"/>
    <w:link w:val="8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>
    <w:name w:val="Intense Quote Char"/>
    <w:link w:val="841"/>
    <w:uiPriority w:val="30"/>
    <w:rPr>
      <w:i/>
    </w:rPr>
  </w:style>
  <w:style w:type="character" w:styleId="843">
    <w:name w:val="Header Char"/>
    <w:basedOn w:val="989"/>
    <w:link w:val="992"/>
    <w:uiPriority w:val="99"/>
  </w:style>
  <w:style w:type="character" w:styleId="844">
    <w:name w:val="Footer Char"/>
    <w:basedOn w:val="989"/>
    <w:link w:val="997"/>
    <w:uiPriority w:val="99"/>
  </w:style>
  <w:style w:type="paragraph" w:styleId="845">
    <w:name w:val="Caption"/>
    <w:basedOn w:val="988"/>
    <w:next w:val="9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6">
    <w:name w:val="Caption Char"/>
    <w:basedOn w:val="845"/>
    <w:link w:val="997"/>
    <w:uiPriority w:val="99"/>
  </w:style>
  <w:style w:type="table" w:styleId="847">
    <w:name w:val="Table Grid Light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8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6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7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8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9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0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1">
    <w:name w:val="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 &amp; 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Bordered &amp; 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Bordered &amp; 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Bordered &amp; 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Bordered &amp; 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Bordered &amp; 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2">
    <w:name w:val="footnote text"/>
    <w:basedOn w:val="988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paragraph" w:styleId="974">
    <w:name w:val="endnote text"/>
    <w:basedOn w:val="988"/>
    <w:link w:val="975"/>
    <w:uiPriority w:val="99"/>
    <w:semiHidden/>
    <w:unhideWhenUsed/>
    <w:pPr>
      <w:spacing w:after="0" w:line="240" w:lineRule="auto"/>
    </w:pPr>
    <w:rPr>
      <w:sz w:val="20"/>
    </w:rPr>
  </w:style>
  <w:style w:type="character" w:styleId="975">
    <w:name w:val="Endnote Text Char"/>
    <w:link w:val="974"/>
    <w:uiPriority w:val="99"/>
    <w:rPr>
      <w:sz w:val="20"/>
    </w:rPr>
  </w:style>
  <w:style w:type="character" w:styleId="976">
    <w:name w:val="endnote reference"/>
    <w:basedOn w:val="989"/>
    <w:uiPriority w:val="99"/>
    <w:semiHidden/>
    <w:unhideWhenUsed/>
    <w:rPr>
      <w:vertAlign w:val="superscript"/>
    </w:rPr>
  </w:style>
  <w:style w:type="paragraph" w:styleId="977">
    <w:name w:val="toc 1"/>
    <w:basedOn w:val="988"/>
    <w:next w:val="988"/>
    <w:uiPriority w:val="39"/>
    <w:unhideWhenUsed/>
    <w:pPr>
      <w:ind w:left="0" w:right="0" w:firstLine="0"/>
      <w:spacing w:after="57"/>
    </w:pPr>
  </w:style>
  <w:style w:type="paragraph" w:styleId="978">
    <w:name w:val="toc 2"/>
    <w:basedOn w:val="988"/>
    <w:next w:val="988"/>
    <w:uiPriority w:val="39"/>
    <w:unhideWhenUsed/>
    <w:pPr>
      <w:ind w:left="283" w:right="0" w:firstLine="0"/>
      <w:spacing w:after="57"/>
    </w:pPr>
  </w:style>
  <w:style w:type="paragraph" w:styleId="979">
    <w:name w:val="toc 3"/>
    <w:basedOn w:val="988"/>
    <w:next w:val="988"/>
    <w:uiPriority w:val="39"/>
    <w:unhideWhenUsed/>
    <w:pPr>
      <w:ind w:left="567" w:right="0" w:firstLine="0"/>
      <w:spacing w:after="57"/>
    </w:pPr>
  </w:style>
  <w:style w:type="paragraph" w:styleId="980">
    <w:name w:val="toc 4"/>
    <w:basedOn w:val="988"/>
    <w:next w:val="988"/>
    <w:uiPriority w:val="39"/>
    <w:unhideWhenUsed/>
    <w:pPr>
      <w:ind w:left="850" w:right="0" w:firstLine="0"/>
      <w:spacing w:after="57"/>
    </w:pPr>
  </w:style>
  <w:style w:type="paragraph" w:styleId="981">
    <w:name w:val="toc 5"/>
    <w:basedOn w:val="988"/>
    <w:next w:val="988"/>
    <w:uiPriority w:val="39"/>
    <w:unhideWhenUsed/>
    <w:pPr>
      <w:ind w:left="1134" w:right="0" w:firstLine="0"/>
      <w:spacing w:after="57"/>
    </w:pPr>
  </w:style>
  <w:style w:type="paragraph" w:styleId="982">
    <w:name w:val="toc 6"/>
    <w:basedOn w:val="988"/>
    <w:next w:val="988"/>
    <w:uiPriority w:val="39"/>
    <w:unhideWhenUsed/>
    <w:pPr>
      <w:ind w:left="1417" w:right="0" w:firstLine="0"/>
      <w:spacing w:after="57"/>
    </w:pPr>
  </w:style>
  <w:style w:type="paragraph" w:styleId="983">
    <w:name w:val="toc 7"/>
    <w:basedOn w:val="988"/>
    <w:next w:val="988"/>
    <w:uiPriority w:val="39"/>
    <w:unhideWhenUsed/>
    <w:pPr>
      <w:ind w:left="1701" w:right="0" w:firstLine="0"/>
      <w:spacing w:after="57"/>
    </w:pPr>
  </w:style>
  <w:style w:type="paragraph" w:styleId="984">
    <w:name w:val="toc 8"/>
    <w:basedOn w:val="988"/>
    <w:next w:val="988"/>
    <w:uiPriority w:val="39"/>
    <w:unhideWhenUsed/>
    <w:pPr>
      <w:ind w:left="1984" w:right="0" w:firstLine="0"/>
      <w:spacing w:after="57"/>
    </w:pPr>
  </w:style>
  <w:style w:type="paragraph" w:styleId="985">
    <w:name w:val="toc 9"/>
    <w:basedOn w:val="988"/>
    <w:next w:val="988"/>
    <w:uiPriority w:val="39"/>
    <w:unhideWhenUsed/>
    <w:pPr>
      <w:ind w:left="2268" w:right="0" w:firstLine="0"/>
      <w:spacing w:after="57"/>
    </w:pPr>
  </w:style>
  <w:style w:type="paragraph" w:styleId="986">
    <w:name w:val="TOC Heading"/>
    <w:uiPriority w:val="39"/>
    <w:unhideWhenUsed/>
  </w:style>
  <w:style w:type="paragraph" w:styleId="987">
    <w:name w:val="table of figures"/>
    <w:basedOn w:val="988"/>
    <w:next w:val="988"/>
    <w:uiPriority w:val="99"/>
    <w:unhideWhenUsed/>
    <w:pPr>
      <w:spacing w:after="0" w:afterAutospacing="0"/>
    </w:pPr>
  </w:style>
  <w:style w:type="paragraph" w:styleId="98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9" w:default="1">
    <w:name w:val="Default Paragraph Font"/>
    <w:uiPriority w:val="1"/>
    <w:unhideWhenUsed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paragraph" w:styleId="992">
    <w:name w:val="Header"/>
    <w:basedOn w:val="988"/>
    <w:link w:val="993"/>
    <w:uiPriority w:val="99"/>
    <w:pPr>
      <w:tabs>
        <w:tab w:val="center" w:pos="4677" w:leader="none"/>
        <w:tab w:val="right" w:pos="9355" w:leader="none"/>
      </w:tabs>
    </w:pPr>
  </w:style>
  <w:style w:type="character" w:styleId="993" w:customStyle="1">
    <w:name w:val="Верхний колонтитул Знак"/>
    <w:basedOn w:val="989"/>
    <w:link w:val="9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4">
    <w:name w:val="Balloon Text"/>
    <w:basedOn w:val="988"/>
    <w:link w:val="995"/>
    <w:uiPriority w:val="99"/>
    <w:semiHidden/>
    <w:unhideWhenUsed/>
    <w:rPr>
      <w:rFonts w:ascii="Tahoma" w:hAnsi="Tahoma" w:cs="Tahoma"/>
      <w:sz w:val="16"/>
      <w:szCs w:val="16"/>
    </w:rPr>
  </w:style>
  <w:style w:type="character" w:styleId="995" w:customStyle="1">
    <w:name w:val="Текст выноски Знак"/>
    <w:basedOn w:val="989"/>
    <w:link w:val="9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96">
    <w:name w:val="Hyperlink"/>
    <w:basedOn w:val="989"/>
    <w:uiPriority w:val="99"/>
    <w:unhideWhenUsed/>
    <w:rPr>
      <w:color w:val="0000ff" w:themeColor="hyperlink"/>
      <w:u w:val="single"/>
    </w:rPr>
  </w:style>
  <w:style w:type="paragraph" w:styleId="997">
    <w:name w:val="Footer"/>
    <w:basedOn w:val="988"/>
    <w:link w:val="9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8" w:customStyle="1">
    <w:name w:val="Нижний колонтитул Знак"/>
    <w:basedOn w:val="989"/>
    <w:link w:val="99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>
    <w:name w:val="List Number"/>
    <w:basedOn w:val="988"/>
    <w:uiPriority w:val="99"/>
    <w:unhideWhenUsed/>
    <w:pPr>
      <w:numPr>
        <w:ilvl w:val="0"/>
        <w:numId w:val="2"/>
      </w:numPr>
      <w:contextualSpacing/>
    </w:pPr>
  </w:style>
  <w:style w:type="character" w:styleId="1000">
    <w:name w:val="footnote reference"/>
    <w:basedOn w:val="989"/>
    <w:rPr>
      <w:vertAlign w:val="superscript"/>
    </w:rPr>
  </w:style>
  <w:style w:type="paragraph" w:styleId="1001">
    <w:name w:val="List Paragraph"/>
    <w:basedOn w:val="988"/>
    <w:link w:val="1018"/>
    <w:uiPriority w:val="34"/>
    <w:qFormat/>
    <w:pPr>
      <w:contextualSpacing/>
      <w:ind w:left="720"/>
    </w:pPr>
  </w:style>
  <w:style w:type="character" w:styleId="1002" w:customStyle="1">
    <w:name w:val="Основной текст_"/>
    <w:basedOn w:val="989"/>
    <w:link w:val="1003"/>
    <w:rPr>
      <w:rFonts w:ascii="Times New Roman" w:hAnsi="Times New Roman" w:eastAsia="Times New Roman" w:cs="Times New Roman"/>
      <w:shd w:val="clear" w:color="auto" w:fill="ffffff"/>
    </w:rPr>
  </w:style>
  <w:style w:type="paragraph" w:styleId="1003" w:customStyle="1">
    <w:name w:val="Основной текст2"/>
    <w:basedOn w:val="988"/>
    <w:link w:val="1002"/>
    <w:pPr>
      <w:jc w:val="right"/>
      <w:spacing w:line="274" w:lineRule="exac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1004" w:customStyle="1">
    <w:name w:val="Основной текст1"/>
    <w:basedOn w:val="988"/>
    <w:pPr>
      <w:spacing w:before="960" w:after="960" w:line="322" w:lineRule="exact"/>
      <w:shd w:val="clear" w:color="auto" w:fill="ffffff"/>
      <w:widowControl w:val="off"/>
    </w:pPr>
    <w:rPr>
      <w:sz w:val="27"/>
      <w:szCs w:val="27"/>
      <w:lang w:eastAsia="en-US"/>
    </w:rPr>
  </w:style>
  <w:style w:type="table" w:styleId="1005">
    <w:name w:val="Table Grid"/>
    <w:basedOn w:val="9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6" w:customStyle="1">
    <w:name w:val="Font Style128"/>
    <w:rPr>
      <w:rFonts w:hint="default" w:ascii="Times New Roman" w:hAnsi="Times New Roman" w:cs="Times New Roman"/>
      <w:color w:val="000000"/>
      <w:sz w:val="26"/>
      <w:szCs w:val="26"/>
    </w:rPr>
  </w:style>
  <w:style w:type="character" w:styleId="1007">
    <w:name w:val="annotation reference"/>
    <w:basedOn w:val="989"/>
    <w:uiPriority w:val="99"/>
    <w:semiHidden/>
    <w:unhideWhenUsed/>
    <w:rPr>
      <w:sz w:val="16"/>
      <w:szCs w:val="16"/>
    </w:rPr>
  </w:style>
  <w:style w:type="paragraph" w:styleId="1008">
    <w:name w:val="annotation text"/>
    <w:basedOn w:val="988"/>
    <w:link w:val="1009"/>
    <w:uiPriority w:val="99"/>
    <w:semiHidden/>
    <w:unhideWhenUsed/>
    <w:rPr>
      <w:sz w:val="20"/>
      <w:szCs w:val="20"/>
    </w:rPr>
  </w:style>
  <w:style w:type="character" w:styleId="1009" w:customStyle="1">
    <w:name w:val="Текст примечания Знак"/>
    <w:basedOn w:val="989"/>
    <w:link w:val="100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0">
    <w:name w:val="annotation subject"/>
    <w:basedOn w:val="1008"/>
    <w:next w:val="1008"/>
    <w:link w:val="1011"/>
    <w:uiPriority w:val="99"/>
    <w:semiHidden/>
    <w:unhideWhenUsed/>
    <w:rPr>
      <w:b/>
      <w:bCs/>
    </w:rPr>
  </w:style>
  <w:style w:type="character" w:styleId="1011" w:customStyle="1">
    <w:name w:val="Тема примечания Знак"/>
    <w:basedOn w:val="1009"/>
    <w:link w:val="101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12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>
    <w:name w:val="Normal (Web)"/>
    <w:basedOn w:val="988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styleId="1014" w:customStyle="1">
    <w:name w:val="table-text"/>
  </w:style>
  <w:style w:type="character" w:styleId="1015" w:customStyle="1">
    <w:name w:val="text-bold"/>
  </w:style>
  <w:style w:type="paragraph" w:styleId="101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1017">
    <w:name w:val="Strong"/>
    <w:basedOn w:val="989"/>
    <w:uiPriority w:val="22"/>
    <w:qFormat/>
    <w:rPr>
      <w:b/>
      <w:bCs/>
    </w:rPr>
  </w:style>
  <w:style w:type="character" w:styleId="1018" w:customStyle="1">
    <w:name w:val="Абзац списка Знак"/>
    <w:link w:val="1001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19">
    <w:name w:val="Unresolved Mention"/>
    <w:basedOn w:val="98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mailto:selezneva_aa@interr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A678-7FD4-4993-8B16-A18D83BC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Inter RAO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revision>36</cp:revision>
  <dcterms:created xsi:type="dcterms:W3CDTF">2023-04-17T09:15:00Z</dcterms:created>
  <dcterms:modified xsi:type="dcterms:W3CDTF">2025-03-11T08:21:22Z</dcterms:modified>
</cp:coreProperties>
</file>