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6"/>
        <w:jc w:val="center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838145" cy="437982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838145" cy="437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23.48pt;height:34.49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jc w:val="center"/>
        <w:spacing w:before="283" w:beforeAutospacing="0" w:after="17" w:afterAutospacing="0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ПРОТОКОЛ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jc w:val="center"/>
        <w:spacing w:after="159" w:afterAutospacing="0"/>
        <w:widowControl w:val="off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</w:rPr>
        <w:t xml:space="preserve">з</w:t>
      </w:r>
      <w:r>
        <w:rPr>
          <w:rFonts w:ascii="Liberation Serif" w:hAnsi="Liberation Serif" w:cs="Liberation Serif"/>
        </w:rPr>
        <w:t xml:space="preserve">аседания Закупочной комиссии о признании закупочной процедуры несостоявшейся</w:t>
      </w: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</w:p>
    <w:p>
      <w:pPr>
        <w:pStyle w:val="916"/>
        <w:jc w:val="center"/>
        <w:widowControl w:val="off"/>
        <w:rPr>
          <w:rFonts w:ascii="Liberation Serif" w:hAnsi="Liberation Serif" w:cs="Liberation Serif"/>
          <w:b/>
          <w:bCs/>
          <w:highlight w:val="none"/>
        </w:rPr>
      </w:pPr>
      <w:r>
        <w:rPr>
          <w:rFonts w:ascii="Liberation Serif" w:hAnsi="Liberation Serif" w:cs="Liberation Serif"/>
          <w:b/>
        </w:rPr>
        <w:t xml:space="preserve">г. </w:t>
      </w:r>
      <w:r>
        <w:rPr>
          <w:rFonts w:ascii="Liberation Serif" w:hAnsi="Liberation Serif" w:cs="Liberation Serif"/>
          <w:b/>
        </w:rPr>
        <w:t xml:space="preserve">Томск</w:t>
      </w:r>
      <w:r>
        <w:rPr>
          <w:rFonts w:ascii="Liberation Serif" w:hAnsi="Liberation Serif" w:cs="Liberation Serif"/>
          <w:b/>
          <w:bCs/>
          <w:highlight w:val="none"/>
        </w:rPr>
      </w:r>
      <w:r>
        <w:rPr>
          <w:rFonts w:ascii="Liberation Serif" w:hAnsi="Liberation Serif" w:cs="Liberation Serif"/>
          <w:b/>
          <w:bCs/>
          <w:highlight w:val="none"/>
        </w:rPr>
      </w:r>
    </w:p>
    <w:tbl>
      <w:tblPr>
        <w:tblW w:w="10456" w:type="dxa"/>
        <w:jc w:val="center"/>
        <w:tblInd w:w="0" w:type="dxa"/>
        <w:tblBorders>
          <w:top w:val="single" w:color="A6A6A6" w:sz="4" w:space="0"/>
          <w:left w:val="single" w:color="A6A6A6" w:sz="4" w:space="0"/>
          <w:bottom w:val="single" w:color="A6A6A6" w:sz="4" w:space="0"/>
          <w:right w:val="single" w:color="A6A6A6" w:sz="4" w:space="0"/>
          <w:insideH w:val="single" w:color="A6A6A6" w:sz="4" w:space="0"/>
          <w:insideV w:val="single" w:color="A6A6A6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361"/>
        <w:gridCol w:w="60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Протокола: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916"/>
              <w:spacing w:before="120"/>
              <w:widowControl w:val="off"/>
            </w:pPr>
            <w:r>
              <w:t xml:space="preserve">№ </w:t>
            </w:r>
            <w:r>
              <w:t xml:space="preserve">224144</w:t>
            </w:r>
            <w:r>
              <w:t xml:space="preserve">/ПН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Способ закупки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916"/>
              <w:spacing w:before="120"/>
              <w:widowControl w:val="off"/>
            </w:pPr>
            <w:r>
              <w:t xml:space="preserve">Открытый конкурс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Предмет закупки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916"/>
              <w:spacing w:before="120"/>
              <w:widowControl w:val="off"/>
            </w:pPr>
            <w:r>
              <w:t xml:space="preserve">Электротехническая продукция для собственных нужд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Дата/время проведения заседания: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916"/>
              <w:spacing w:before="120"/>
              <w:widowControl w:val="off"/>
            </w:pPr>
            <w:r>
              <w:t xml:space="preserve">«01</w:t>
            </w:r>
            <w:r>
              <w:t xml:space="preserve">» апреля</w:t>
            </w:r>
            <w:r>
              <w:t xml:space="preserve"> </w:t>
            </w:r>
            <w:r>
              <w:t xml:space="preserve">20</w:t>
            </w:r>
            <w:r>
              <w:t xml:space="preserve">26</w:t>
            </w:r>
            <w:r>
              <w:t xml:space="preserve">г. </w:t>
            </w:r>
            <w:r>
              <w:t xml:space="preserve">15</w:t>
            </w:r>
            <w:r>
              <w:t xml:space="preserve">:0</w:t>
            </w:r>
            <w:r>
              <w:t xml:space="preserve">0</w:t>
            </w:r>
            <w:r>
              <w:t xml:space="preserve"> (</w:t>
            </w:r>
            <w:r>
              <w:rPr>
                <w:i/>
                <w:sz w:val="22"/>
                <w:szCs w:val="22"/>
              </w:rPr>
              <w:t xml:space="preserve">по </w:t>
            </w:r>
            <w:r>
              <w:rPr>
                <w:i/>
                <w:sz w:val="22"/>
                <w:szCs w:val="22"/>
              </w:rPr>
              <w:t xml:space="preserve">томскому</w:t>
            </w:r>
            <w:r>
              <w:rPr>
                <w:i/>
                <w:sz w:val="22"/>
                <w:szCs w:val="22"/>
              </w:rPr>
              <w:t xml:space="preserve"> времени</w:t>
            </w:r>
            <w:r>
              <w:rPr>
                <w:i/>
                <w:sz w:val="22"/>
                <w:szCs w:val="22"/>
              </w:rPr>
              <w:t xml:space="preserve">)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подписания протокола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916"/>
              <w:spacing w:before="120"/>
              <w:widowControl w:val="off"/>
            </w:pPr>
            <w:r>
              <w:t xml:space="preserve">«01</w:t>
            </w:r>
            <w:r>
              <w:t xml:space="preserve">»</w:t>
            </w:r>
            <w:r>
              <w:t xml:space="preserve"> апреля</w:t>
            </w:r>
            <w:r>
              <w:t xml:space="preserve"> </w:t>
            </w:r>
            <w:r>
              <w:t xml:space="preserve">20</w:t>
            </w:r>
            <w:r>
              <w:t xml:space="preserve">26</w:t>
            </w:r>
            <w:r>
              <w:t xml:space="preserve">г.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Начальная (максимальная) цена: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916"/>
              <w:spacing w:before="120"/>
              <w:widowControl w:val="off"/>
            </w:pPr>
            <w:r>
              <w:t xml:space="preserve">920 121,57</w:t>
            </w:r>
            <w:r>
              <w:t xml:space="preserve"> рублей без НДС</w:t>
            </w: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Участниками могут быть только субъекты МСП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bottom"/>
            <w:textDirection w:val="lrTb"/>
            <w:noWrap w:val="false"/>
          </w:tcPr>
          <w:p>
            <w:pPr>
              <w:pStyle w:val="916"/>
              <w:spacing w:before="120"/>
              <w:widowControl w:val="off"/>
            </w:pPr>
            <w:r>
              <w:t xml:space="preserve">да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361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Объем, цена закупаемых товаров, работ, услуг, срок исполнения договора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6095" w:type="dxa"/>
            <w:vAlign w:val="center"/>
            <w:textDirection w:val="lrTb"/>
            <w:noWrap w:val="false"/>
          </w:tcPr>
          <w:p>
            <w:pPr>
              <w:pStyle w:val="916"/>
              <w:spacing w:before="120"/>
              <w:widowControl w:val="off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соответствии с Закупочной документацией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</w:tbl>
    <w:p>
      <w:pPr>
        <w:pStyle w:val="916"/>
        <w:ind w:firstLine="709"/>
        <w:spacing w:before="221" w:beforeAutospacing="0" w:after="120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ПОВЕСТКА: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numPr>
          <w:ilvl w:val="0"/>
          <w:numId w:val="18"/>
        </w:numPr>
        <w:ind w:left="709" w:hanging="709"/>
        <w:jc w:val="both"/>
        <w:spacing w:before="120" w:after="120"/>
        <w:widowControl w:val="off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Об одобрении</w:t>
      </w:r>
      <w:r>
        <w:rPr>
          <w:rFonts w:ascii="Liberation Serif" w:hAnsi="Liberation Serif" w:cs="Liberation Serif"/>
          <w:i/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</w:rPr>
        <w:t xml:space="preserve">Сводного отчета Экспертной группы по оценке заявок.</w:t>
      </w:r>
      <w:r>
        <w:rPr>
          <w:rFonts w:ascii="Liberation Serif" w:hAnsi="Liberation Serif" w:cs="Liberation Serif"/>
          <w:color w:val="000000"/>
        </w:rPr>
      </w:r>
      <w:r>
        <w:rPr>
          <w:rFonts w:ascii="Liberation Serif" w:hAnsi="Liberation Serif" w:cs="Liberation Serif"/>
          <w:color w:val="000000"/>
        </w:rPr>
      </w:r>
    </w:p>
    <w:p>
      <w:pPr>
        <w:pStyle w:val="916"/>
        <w:numPr>
          <w:ilvl w:val="0"/>
          <w:numId w:val="18"/>
        </w:numPr>
        <w:ind w:left="709" w:hanging="709"/>
        <w:jc w:val="both"/>
        <w:spacing w:before="120" w:after="120"/>
        <w:widowControl w:val="off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О признании заявок удовлетворяющими требованиям </w:t>
      </w:r>
      <w:r>
        <w:rPr>
          <w:rFonts w:ascii="Liberation Serif" w:hAnsi="Liberation Serif" w:cs="Liberation Serif"/>
          <w:color w:val="000000"/>
        </w:rPr>
        <w:t xml:space="preserve">закупки.</w:t>
      </w:r>
      <w:r>
        <w:rPr>
          <w:rFonts w:ascii="Liberation Serif" w:hAnsi="Liberation Serif" w:cs="Liberation Serif"/>
          <w:color w:val="000000"/>
        </w:rPr>
      </w:r>
      <w:r>
        <w:rPr>
          <w:rFonts w:ascii="Liberation Serif" w:hAnsi="Liberation Serif" w:cs="Liberation Serif"/>
          <w:color w:val="000000"/>
        </w:rPr>
      </w:r>
    </w:p>
    <w:p>
      <w:pPr>
        <w:pStyle w:val="916"/>
        <w:numPr>
          <w:ilvl w:val="0"/>
          <w:numId w:val="18"/>
        </w:numPr>
        <w:ind w:left="709" w:hanging="709"/>
        <w:jc w:val="both"/>
        <w:spacing w:before="120" w:after="120"/>
        <w:widowControl w:val="off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О признании закупки </w:t>
      </w:r>
      <w:r>
        <w:rPr>
          <w:rFonts w:ascii="Liberation Serif" w:hAnsi="Liberation Serif" w:cs="Liberation Serif"/>
          <w:color w:val="000000"/>
        </w:rPr>
        <w:t xml:space="preserve">не</w:t>
      </w:r>
      <w:r>
        <w:rPr>
          <w:rFonts w:ascii="Liberation Serif" w:hAnsi="Liberation Serif" w:cs="Liberation Serif"/>
          <w:color w:val="000000"/>
        </w:rPr>
        <w:t xml:space="preserve">состоявшейся.</w:t>
      </w:r>
      <w:r>
        <w:rPr>
          <w:rFonts w:ascii="Liberation Serif" w:hAnsi="Liberation Serif" w:cs="Liberation Serif"/>
          <w:color w:val="000000"/>
        </w:rPr>
      </w:r>
      <w:r>
        <w:rPr>
          <w:rFonts w:ascii="Liberation Serif" w:hAnsi="Liberation Serif" w:cs="Liberation Serif"/>
          <w:color w:val="000000"/>
        </w:rPr>
      </w:r>
    </w:p>
    <w:p>
      <w:pPr>
        <w:pStyle w:val="916"/>
        <w:ind w:firstLine="709"/>
        <w:jc w:val="both"/>
        <w:spacing w:before="240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УЧАСТИЕ ПРИНИМАЛИ: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ind w:firstLine="709"/>
        <w:jc w:val="both"/>
        <w:spacing w:line="360" w:lineRule="auto"/>
        <w:widowControl w:val="off"/>
        <w:rPr>
          <w:u w:val="single"/>
        </w:rPr>
      </w:pPr>
      <w:r>
        <w:rPr>
          <w:u w:val="single"/>
        </w:rPr>
        <w:t xml:space="preserve">Председатель Закупочной комиссии:</w:t>
      </w:r>
      <w:r>
        <w:rPr>
          <w:u w:val="single"/>
        </w:rPr>
      </w:r>
      <w:r>
        <w:rPr>
          <w:u w:val="single"/>
        </w:rPr>
      </w:r>
    </w:p>
    <w:tbl>
      <w:tblPr>
        <w:tblW w:w="314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2467"/>
      </w:tblGrid>
      <w:tr>
        <w:tblPrEx/>
        <w:trPr>
          <w:trHeight w:val="41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16"/>
              <w:numPr>
                <w:ilvl w:val="0"/>
                <w:numId w:val="36"/>
              </w:numPr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67" w:type="dxa"/>
            <w:vAlign w:val="center"/>
            <w:textDirection w:val="lrTb"/>
            <w:noWrap w:val="false"/>
          </w:tcPr>
          <w:p>
            <w:pPr>
              <w:pStyle w:val="916"/>
              <w:spacing w:line="360" w:lineRule="auto"/>
              <w:widowControl w:val="off"/>
              <w:rPr>
                <w:bCs/>
              </w:rPr>
            </w:pPr>
            <w:r>
              <w:t xml:space="preserve">Булгаков А.В.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916"/>
        <w:ind w:firstLine="709"/>
        <w:jc w:val="both"/>
        <w:spacing w:line="360" w:lineRule="auto"/>
        <w:widowControl w:val="off"/>
        <w:rPr>
          <w:u w:val="single"/>
        </w:rPr>
      </w:pPr>
      <w:r>
        <w:rPr>
          <w:u w:val="single"/>
        </w:rPr>
        <w:t xml:space="preserve">Заместитель председателя Закупочной комиссии:</w:t>
      </w:r>
      <w:r>
        <w:rPr>
          <w:u w:val="single"/>
        </w:rPr>
      </w:r>
      <w:r>
        <w:rPr>
          <w:u w:val="single"/>
        </w:rPr>
      </w:r>
    </w:p>
    <w:tbl>
      <w:tblPr>
        <w:tblW w:w="314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2467"/>
      </w:tblGrid>
      <w:tr>
        <w:tblPrEx/>
        <w:trPr>
          <w:trHeight w:val="41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16"/>
              <w:numPr>
                <w:ilvl w:val="0"/>
                <w:numId w:val="36"/>
              </w:numPr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67" w:type="dxa"/>
            <w:vAlign w:val="center"/>
            <w:textDirection w:val="lrTb"/>
            <w:noWrap w:val="false"/>
          </w:tcPr>
          <w:p>
            <w:pPr>
              <w:pStyle w:val="916"/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Алибекова С.В.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916"/>
        <w:ind w:firstLine="709"/>
        <w:jc w:val="both"/>
        <w:spacing w:line="360" w:lineRule="auto"/>
        <w:widowControl w:val="off"/>
        <w:rPr>
          <w:u w:val="single"/>
        </w:rPr>
      </w:pPr>
      <w:r>
        <w:rPr>
          <w:u w:val="single"/>
        </w:rPr>
        <w:t xml:space="preserve">Члены Закупочной комиссии:</w:t>
      </w:r>
      <w:r>
        <w:rPr>
          <w:u w:val="single"/>
        </w:rPr>
      </w:r>
      <w:r>
        <w:rPr>
          <w:u w:val="single"/>
        </w:rPr>
      </w:r>
    </w:p>
    <w:tbl>
      <w:tblPr>
        <w:tblW w:w="3142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246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16"/>
              <w:numPr>
                <w:ilvl w:val="0"/>
                <w:numId w:val="36"/>
              </w:numPr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67" w:type="dxa"/>
            <w:vAlign w:val="center"/>
            <w:textDirection w:val="lrTb"/>
            <w:noWrap w:val="false"/>
          </w:tcPr>
          <w:p>
            <w:pPr>
              <w:pStyle w:val="916"/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Потылицин А.Н.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16"/>
              <w:numPr>
                <w:ilvl w:val="0"/>
                <w:numId w:val="36"/>
              </w:numPr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67" w:type="dxa"/>
            <w:vAlign w:val="center"/>
            <w:textDirection w:val="lrTb"/>
            <w:noWrap w:val="false"/>
          </w:tcPr>
          <w:p>
            <w:pPr>
              <w:pStyle w:val="916"/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Галкин А.В.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16"/>
              <w:numPr>
                <w:ilvl w:val="0"/>
                <w:numId w:val="36"/>
              </w:numPr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67" w:type="dxa"/>
            <w:vAlign w:val="center"/>
            <w:textDirection w:val="lrTb"/>
            <w:noWrap w:val="false"/>
          </w:tcPr>
          <w:p>
            <w:pPr>
              <w:pStyle w:val="916"/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Соловьев В.Н..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916"/>
        <w:ind w:firstLine="709"/>
        <w:jc w:val="both"/>
        <w:spacing w:line="360" w:lineRule="auto"/>
        <w:widowControl w:val="off"/>
        <w:rPr>
          <w:u w:val="single"/>
        </w:rPr>
      </w:pPr>
      <w:r>
        <w:rPr>
          <w:u w:val="single"/>
        </w:rPr>
        <w:t xml:space="preserve">Секретарь Закупочной комиссии (без права голоса):</w:t>
      </w:r>
      <w:r>
        <w:rPr>
          <w:u w:val="single"/>
        </w:rPr>
      </w:r>
      <w:r>
        <w:rPr>
          <w:u w:val="single"/>
        </w:rPr>
      </w:r>
    </w:p>
    <w:tbl>
      <w:tblPr>
        <w:tblW w:w="3034" w:type="dxa"/>
        <w:tblInd w:w="-3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2467"/>
      </w:tblGrid>
      <w:tr>
        <w:tblPrEx/>
        <w:trPr>
          <w:trHeight w:val="41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16"/>
              <w:ind w:left="0" w:firstLine="0"/>
              <w:spacing w:line="360" w:lineRule="auto"/>
              <w:widowControl w:val="off"/>
              <w:rPr>
                <w:bCs/>
              </w:rPr>
            </w:pPr>
            <w:r>
              <w:rPr>
                <w:bCs/>
              </w:rPr>
              <w:t xml:space="preserve">6.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67" w:type="dxa"/>
            <w:vAlign w:val="center"/>
            <w:textDirection w:val="lrTb"/>
            <w:noWrap w:val="false"/>
          </w:tcPr>
          <w:p>
            <w:pPr>
              <w:pStyle w:val="916"/>
              <w:jc w:val="both"/>
              <w:spacing w:line="360" w:lineRule="auto"/>
              <w:widowControl w:val="off"/>
              <w:rPr>
                <w:bCs/>
              </w:rPr>
            </w:pPr>
            <w:r>
              <w:t xml:space="preserve">Смирнягина А.С.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916"/>
        <w:spacing w:before="60"/>
        <w:widowControl w:val="off"/>
        <w:rPr>
          <w:bCs/>
          <w:i/>
        </w:rPr>
      </w:pPr>
      <w:r>
        <w:rPr>
          <w:bCs/>
          <w:i/>
        </w:rPr>
        <w:t xml:space="preserve">Кворум для принятия решений имеется.</w:t>
      </w:r>
      <w:r>
        <w:rPr>
          <w:bCs/>
          <w:i/>
        </w:rPr>
      </w:r>
      <w:r>
        <w:rPr>
          <w:bCs/>
          <w:i/>
        </w:rPr>
      </w:r>
    </w:p>
    <w:p>
      <w:pPr>
        <w:pStyle w:val="916"/>
        <w:ind w:firstLine="709"/>
        <w:spacing w:before="120" w:after="85" w:afterAutospacing="0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ВОПРОСЫ ЗАСЕДАНИЯ </w:t>
      </w:r>
      <w:r>
        <w:rPr>
          <w:rFonts w:ascii="Liberation Serif" w:hAnsi="Liberation Serif" w:cs="Liberation Serif"/>
          <w:b/>
        </w:rPr>
        <w:t xml:space="preserve">ЗАКУПОЧ</w:t>
      </w:r>
      <w:r>
        <w:rPr>
          <w:rFonts w:ascii="Liberation Serif" w:hAnsi="Liberation Serif" w:cs="Liberation Serif"/>
          <w:b/>
        </w:rPr>
        <w:t xml:space="preserve">НОЙ КОМИССИИ: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jc w:val="both"/>
        <w:spacing w:after="12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 участие в </w:t>
      </w:r>
      <w:r>
        <w:rPr>
          <w:rFonts w:ascii="Liberation Serif" w:hAnsi="Liberation Serif" w:cs="Liberation Serif"/>
        </w:rPr>
        <w:t xml:space="preserve">закупке</w:t>
      </w:r>
      <w:r>
        <w:rPr>
          <w:rFonts w:ascii="Liberation Serif" w:hAnsi="Liberation Serif" w:cs="Liberation Serif"/>
        </w:rPr>
        <w:t xml:space="preserve"> был</w:t>
      </w:r>
      <w:r>
        <w:rPr>
          <w:rFonts w:ascii="Liberation Serif" w:hAnsi="Liberation Serif" w:cs="Liberation Serif"/>
        </w:rPr>
        <w:t xml:space="preserve">а</w:t>
      </w:r>
      <w:r>
        <w:rPr>
          <w:rFonts w:ascii="Liberation Serif" w:hAnsi="Liberation Serif" w:cs="Liberation Serif"/>
        </w:rPr>
        <w:t xml:space="preserve"> подан</w:t>
      </w:r>
      <w:r>
        <w:rPr>
          <w:rFonts w:ascii="Liberation Serif" w:hAnsi="Liberation Serif" w:cs="Liberation Serif"/>
        </w:rPr>
        <w:t xml:space="preserve">а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1 (одна) заявка</w:t>
      </w:r>
      <w:r>
        <w:rPr>
          <w:rFonts w:ascii="Liberation Serif" w:hAnsi="Liberation Serif" w:cs="Liberation Serif"/>
        </w:rPr>
        <w:t xml:space="preserve">: 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tbl>
      <w:tblPr>
        <w:tblW w:w="9923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48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5"/>
          <w:tblHeader/>
        </w:trPr>
        <w:tc>
          <w:tcPr>
            <w:shd w:val="clear" w:color="auto" w:fill="bfbfbf"/>
            <w:tcBorders>
              <w:bottom w:val="single" w:color="000000" w:sz="6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16"/>
              <w:ind w:left="-108" w:right="-108"/>
              <w:jc w:val="center"/>
              <w:keepNext/>
              <w:spacing w:before="40" w:after="4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№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п/п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bfbfbf"/>
            <w:tcBorders>
              <w:bottom w:val="single" w:color="000000" w:sz="6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916"/>
              <w:ind w:left="57" w:right="57"/>
              <w:jc w:val="center"/>
              <w:keepNext/>
              <w:spacing w:before="40" w:after="4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</w:rPr>
              <w:t xml:space="preserve">Порядковый номер Участника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shd w:val="clear" w:color="auto" w:fill="bfbfbf"/>
            <w:tcBorders>
              <w:bottom w:val="single" w:color="000000" w:sz="6" w:space="0"/>
            </w:tcBorders>
            <w:tcW w:w="4820" w:type="dxa"/>
            <w:vAlign w:val="center"/>
            <w:textDirection w:val="lrTb"/>
            <w:noWrap w:val="false"/>
          </w:tcPr>
          <w:p>
            <w:pPr>
              <w:pStyle w:val="916"/>
              <w:ind w:left="57" w:right="57"/>
              <w:jc w:val="center"/>
              <w:keepNext/>
              <w:spacing w:before="40" w:after="4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Дата и время регистрации заявки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75"/>
          <w:tblHeader/>
        </w:trPr>
        <w:tc>
          <w:tcPr>
            <w:shd w:val="clear" w:color="auto" w:fill="bfbfbf"/>
            <w:tcW w:w="567" w:type="dxa"/>
            <w:vAlign w:val="center"/>
            <w:textDirection w:val="lrTb"/>
            <w:noWrap w:val="false"/>
          </w:tcPr>
          <w:p>
            <w:pPr>
              <w:pStyle w:val="916"/>
              <w:ind w:left="34"/>
              <w:jc w:val="center"/>
              <w:rPr>
                <w:rFonts w:ascii="Liberation Serif" w:hAnsi="Liberation Serif" w:cs="Liberation Serif"/>
                <w:i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i/>
                <w:sz w:val="18"/>
                <w:szCs w:val="18"/>
              </w:rPr>
              <w:t xml:space="preserve">1</w:t>
            </w:r>
            <w:r>
              <w:rPr>
                <w:rFonts w:ascii="Liberation Serif" w:hAnsi="Liberation Serif" w:cs="Liberation Serif"/>
                <w:i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i/>
                <w:sz w:val="18"/>
                <w:szCs w:val="18"/>
              </w:rPr>
            </w:r>
          </w:p>
        </w:tc>
        <w:tc>
          <w:tcPr>
            <w:shd w:val="clear" w:color="auto" w:fill="bfbfbf"/>
            <w:tcW w:w="4536" w:type="dxa"/>
            <w:vAlign w:val="center"/>
            <w:textDirection w:val="lrTb"/>
            <w:noWrap w:val="false"/>
          </w:tcPr>
          <w:p>
            <w:pPr>
              <w:pStyle w:val="916"/>
              <w:ind w:left="57" w:right="57"/>
              <w:jc w:val="center"/>
              <w:spacing w:before="40" w:after="40"/>
              <w:rPr>
                <w:rFonts w:ascii="Liberation Serif" w:hAnsi="Liberation Serif" w:cs="Liberation Serif"/>
                <w:i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i/>
                <w:sz w:val="18"/>
                <w:szCs w:val="18"/>
              </w:rPr>
              <w:t xml:space="preserve">2</w:t>
            </w:r>
            <w:r>
              <w:rPr>
                <w:rFonts w:ascii="Liberation Serif" w:hAnsi="Liberation Serif" w:cs="Liberation Serif"/>
                <w:i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i/>
                <w:sz w:val="18"/>
                <w:szCs w:val="18"/>
              </w:rPr>
            </w:r>
          </w:p>
        </w:tc>
        <w:tc>
          <w:tcPr>
            <w:shd w:val="clear" w:color="auto" w:fill="bfbfbf"/>
            <w:tcW w:w="4820" w:type="dxa"/>
            <w:vAlign w:val="center"/>
            <w:textDirection w:val="lrTb"/>
            <w:noWrap w:val="false"/>
          </w:tcPr>
          <w:p>
            <w:pPr>
              <w:pStyle w:val="916"/>
              <w:ind w:left="57" w:right="57"/>
              <w:jc w:val="center"/>
              <w:spacing w:before="40" w:after="40"/>
              <w:rPr>
                <w:rFonts w:ascii="Liberation Serif" w:hAnsi="Liberation Serif" w:cs="Liberation Serif"/>
                <w:i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i/>
                <w:sz w:val="18"/>
                <w:szCs w:val="18"/>
              </w:rPr>
              <w:t xml:space="preserve">3</w:t>
            </w:r>
            <w:r>
              <w:rPr>
                <w:rFonts w:ascii="Liberation Serif" w:hAnsi="Liberation Serif" w:cs="Liberation Serif"/>
                <w:i/>
                <w:sz w:val="18"/>
                <w:szCs w:val="18"/>
              </w:rPr>
            </w:r>
            <w:r>
              <w:rPr>
                <w:rFonts w:ascii="Liberation Serif" w:hAnsi="Liberation Serif" w:cs="Liberation Serif"/>
                <w:i/>
                <w:sz w:val="18"/>
                <w:szCs w:val="1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5"/>
        </w:trPr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1"/>
              </w:numPr>
              <w:ind w:left="0" w:firstLine="0"/>
              <w:jc w:val="both"/>
              <w:spacing w:line="36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9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 №1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91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23.03.2026</w:t>
            </w:r>
            <w:r>
              <w:rPr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</w:rPr>
              <w:t xml:space="preserve">:55</w:t>
            </w:r>
            <w:r>
              <w:rPr>
                <w:sz w:val="22"/>
                <w:szCs w:val="22"/>
              </w:rPr>
              <w:t xml:space="preserve">:46</w:t>
            </w:r>
            <w:r>
              <w:rPr>
                <w:sz w:val="22"/>
                <w:szCs w:val="22"/>
              </w:rPr>
              <w:t xml:space="preserve"> (по московскому времени)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16"/>
        <w:spacing w:before="120" w:after="120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Вопрос 1 повестки: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ind w:firstLine="709"/>
        <w:jc w:val="both"/>
        <w:spacing w:before="120" w:after="12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 одобрении</w:t>
      </w:r>
      <w:r>
        <w:rPr>
          <w:rFonts w:ascii="Liberation Serif" w:hAnsi="Liberation Serif" w:cs="Liberation Serif"/>
        </w:rPr>
        <w:t xml:space="preserve"> </w:t>
      </w:r>
      <w:r>
        <w:rPr>
          <w:rFonts w:ascii="Liberation Serif" w:hAnsi="Liberation Serif" w:cs="Liberation Serif"/>
        </w:rPr>
        <w:t xml:space="preserve">Сводного отчета Экспертной группы по </w:t>
      </w:r>
      <w:r>
        <w:rPr>
          <w:rFonts w:ascii="Liberation Serif" w:hAnsi="Liberation Serif" w:cs="Liberation Serif"/>
        </w:rPr>
        <w:t xml:space="preserve">оценке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заявок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ind w:firstLine="709"/>
        <w:jc w:val="both"/>
        <w:spacing w:before="120" w:after="12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Члены Закупочной комиссии изучили поступившие заявки. Результаты оценки сведены в Сводный отчет Экспертной группы по оценке заявок.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ind w:firstLine="709"/>
        <w:jc w:val="both"/>
        <w:spacing w:before="120" w:after="12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Закупочной комиссии предлагается одобрить Сводный отчет Экспертной группы по оценке заявок (приложение №1).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jc w:val="both"/>
        <w:spacing w:before="120" w:after="120"/>
        <w:widowControl w:val="off"/>
      </w:pPr>
      <w:r>
        <w:rPr>
          <w:rFonts w:ascii="Liberation Serif" w:hAnsi="Liberation Serif" w:cs="Liberation Serif"/>
          <w:b/>
        </w:rPr>
        <w:t xml:space="preserve">Вопрос </w:t>
      </w:r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 повестки:</w:t>
      </w:r>
      <w:r>
        <w:rPr>
          <w:rFonts w:ascii="Liberation Serif" w:hAnsi="Liberation Serif" w:cs="Liberation Serif"/>
        </w:rPr>
      </w:r>
      <w:r/>
    </w:p>
    <w:p>
      <w:pPr>
        <w:pStyle w:val="916"/>
        <w:ind w:firstLine="709"/>
        <w:jc w:val="both"/>
        <w:widowControl w:val="off"/>
        <w:rPr>
          <w:rFonts w:ascii="Liberation Serif" w:hAnsi="Liberation Serif" w:cs="Liberation Serif"/>
        </w:rPr>
      </w:pPr>
      <w:r/>
      <w:bookmarkStart w:id="0" w:name="_Hlk90385678"/>
      <w:r>
        <w:rPr>
          <w:rFonts w:ascii="Liberation Serif" w:hAnsi="Liberation Serif" w:cs="Liberation Serif"/>
        </w:rPr>
        <w:t xml:space="preserve">Предлагается признать заявку Участника №1 удовлетворяющей требованиям закупки в соответствии со Сводным отчетом Экспертной группы (приложение №1).</w:t>
      </w:r>
      <w:bookmarkEnd w:id="0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jc w:val="both"/>
        <w:spacing w:before="120" w:after="120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Вопрос 3 повестки: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ind w:firstLine="709"/>
        <w:jc w:val="both"/>
        <w:spacing w:before="120" w:after="120"/>
        <w:widowControl w:val="off"/>
        <w:rPr>
          <w:rFonts w:ascii="Liberation Serif" w:hAnsi="Liberation Serif" w:cs="Liberation Serif"/>
        </w:rPr>
      </w:pPr>
      <w:r/>
      <w:bookmarkStart w:id="1" w:name="_Hlk91151590"/>
      <w:r>
        <w:rPr>
          <w:rFonts w:ascii="Liberation Serif" w:hAnsi="Liberation Serif" w:cs="Liberation Serif"/>
        </w:rPr>
        <w:t xml:space="preserve">О признании закупки несостоявшейс</w:t>
      </w:r>
      <w:r>
        <w:rPr>
          <w:rFonts w:ascii="Liberation Serif" w:hAnsi="Liberation Serif" w:cs="Liberation Serif"/>
        </w:rPr>
        <w:t xml:space="preserve">я в соответствии с п.4.17. Закупочной документации, так как </w:t>
      </w:r>
      <w:r>
        <w:rPr>
          <w:rFonts w:ascii="Liberation Serif" w:hAnsi="Liberation Serif" w:cs="Liberation Serif"/>
        </w:rPr>
        <w:t xml:space="preserve">по результатам проведения закупки на участие в закупке подана только одна заявка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ind w:firstLine="709"/>
        <w:jc w:val="both"/>
        <w:spacing w:before="120" w:after="120"/>
        <w:widowControl w:val="o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</w:t>
      </w:r>
      <w:r>
        <w:rPr>
          <w:rFonts w:ascii="Liberation Serif" w:hAnsi="Liberation Serif" w:cs="Liberation Serif"/>
        </w:rPr>
        <w:t xml:space="preserve">редлагается признать закупку несостоявшейся.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ind w:firstLine="709"/>
        <w:spacing w:before="232" w:beforeAutospacing="0" w:after="120"/>
        <w:widowControl w:val="off"/>
        <w:rPr>
          <w:rFonts w:ascii="Liberation Serif" w:hAnsi="Liberation Serif" w:cs="Liberation Serif"/>
          <w:b/>
        </w:rPr>
      </w:pPr>
      <w:r/>
      <w:bookmarkEnd w:id="1"/>
      <w:r>
        <w:rPr>
          <w:rFonts w:ascii="Liberation Serif" w:hAnsi="Liberation Serif" w:cs="Liberation Serif"/>
          <w:b/>
        </w:rPr>
        <w:t xml:space="preserve">РЕШИЛИ: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numPr>
          <w:ilvl w:val="0"/>
          <w:numId w:val="29"/>
        </w:numPr>
        <w:ind w:left="0" w:firstLine="0"/>
        <w:jc w:val="both"/>
        <w:spacing w:before="120"/>
        <w:widowControl w:val="off"/>
        <w:tabs>
          <w:tab w:val="left" w:pos="-283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Одобрить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Сводный отчет Экспертной группы по оценке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заявок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numPr>
          <w:ilvl w:val="0"/>
          <w:numId w:val="29"/>
        </w:numPr>
        <w:ind w:left="0" w:firstLine="0"/>
        <w:jc w:val="both"/>
        <w:spacing w:before="120" w:after="120"/>
        <w:widowControl w:val="off"/>
        <w:tabs>
          <w:tab w:val="left" w:pos="-283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Признать </w:t>
      </w:r>
      <w:r>
        <w:rPr>
          <w:rFonts w:ascii="Liberation Serif" w:hAnsi="Liberation Serif" w:cs="Liberation Serif"/>
        </w:rPr>
        <w:t xml:space="preserve">заявку </w:t>
      </w:r>
      <w:r>
        <w:rPr>
          <w:rFonts w:ascii="Liberation Serif" w:hAnsi="Liberation Serif" w:cs="Liberation Serif"/>
        </w:rPr>
        <w:t xml:space="preserve">Участника №1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удовлетворяющей</w:t>
      </w:r>
      <w:r>
        <w:rPr>
          <w:rFonts w:ascii="Liberation Serif" w:hAnsi="Liberation Serif" w:cs="Liberation Serif"/>
        </w:rPr>
        <w:t xml:space="preserve"> требованиям закупки.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numPr>
          <w:ilvl w:val="0"/>
          <w:numId w:val="29"/>
        </w:numPr>
        <w:ind w:left="0" w:firstLine="0"/>
        <w:jc w:val="both"/>
        <w:spacing w:before="120" w:after="120"/>
        <w:widowControl w:val="off"/>
        <w:tabs>
          <w:tab w:val="left" w:pos="-283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Признать закупку несостоявшейся.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jc w:val="both"/>
        <w:spacing w:before="120" w:after="120"/>
        <w:widowControl w:val="off"/>
        <w:tabs>
          <w:tab w:val="left" w:pos="-2835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 основании п.4.14.3 Закупочной документации Заказчик вправе заключить договор с Участником №1</w:t>
      </w:r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916"/>
        <w:ind w:firstLine="709"/>
        <w:spacing w:before="240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РЕЗУЛЬТАТЫ ГОЛОСОВАНИЯ: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pStyle w:val="916"/>
        <w:ind w:firstLine="709"/>
        <w:spacing w:before="120" w:after="120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 xml:space="preserve">«За» ____________________ членов Закупочной комиссии</w:t>
      </w:r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</w:p>
    <w:p>
      <w:pPr>
        <w:pStyle w:val="916"/>
        <w:ind w:firstLine="709"/>
        <w:spacing w:before="120" w:after="120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 xml:space="preserve">«Против» ____________________ членов Закупочной комиссии</w:t>
      </w:r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</w:p>
    <w:p>
      <w:pPr>
        <w:pStyle w:val="916"/>
        <w:ind w:firstLine="709"/>
        <w:spacing w:before="120" w:after="240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 xml:space="preserve">«Воздержалось» ____________________ членов Закупочной комиссии</w:t>
      </w:r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</w:p>
    <w:p>
      <w:pPr>
        <w:pStyle w:val="916"/>
        <w:ind w:firstLine="709"/>
        <w:spacing w:before="120" w:after="240"/>
        <w:rPr>
          <w:rFonts w:ascii="Liberation Serif" w:hAnsi="Liberation Serif" w:cs="Liberation Serif"/>
          <w:i/>
          <w:u w:val="single"/>
        </w:rPr>
      </w:pPr>
      <w:r>
        <w:rPr>
          <w:rFonts w:ascii="Liberation Serif" w:hAnsi="Liberation Serif" w:cs="Liberation Serif"/>
          <w:b/>
        </w:rPr>
        <w:t xml:space="preserve">ПОДПИСИ УЧАСТВУЮЩИХ ЧЛЕНОВ ЗАКУПОЧНОЙ КОМИССИИ:</w:t>
      </w:r>
      <w:r>
        <w:rPr>
          <w:rFonts w:ascii="Liberation Serif" w:hAnsi="Liberation Serif" w:cs="Liberation Serif"/>
          <w:i/>
          <w:u w:val="single"/>
        </w:rPr>
      </w:r>
      <w:r>
        <w:rPr>
          <w:rFonts w:ascii="Liberation Serif" w:hAnsi="Liberation Serif" w:cs="Liberation Serif"/>
          <w:i/>
          <w:u w:val="single"/>
        </w:rPr>
      </w:r>
    </w:p>
    <w:p>
      <w:pPr>
        <w:pStyle w:val="916"/>
        <w:ind w:firstLine="709"/>
        <w:jc w:val="both"/>
        <w:spacing w:before="120"/>
        <w:widowControl w:val="off"/>
        <w:rPr>
          <w:u w:val="single"/>
        </w:rPr>
      </w:pPr>
      <w:r>
        <w:rPr>
          <w:u w:val="single"/>
        </w:rPr>
        <w:t xml:space="preserve">Председатель</w:t>
      </w:r>
      <w:r>
        <w:rPr>
          <w:u w:val="single"/>
        </w:rPr>
        <w:t xml:space="preserve"> </w:t>
      </w:r>
      <w:r>
        <w:rPr>
          <w:u w:val="single"/>
        </w:rPr>
        <w:t xml:space="preserve">Закупочной комиссии</w:t>
      </w:r>
      <w:r>
        <w:rPr>
          <w:u w:val="single"/>
        </w:rPr>
        <w:t xml:space="preserve">:</w:t>
      </w:r>
      <w:r>
        <w:rPr>
          <w:u w:val="single"/>
        </w:rPr>
      </w:r>
      <w:r>
        <w:rPr>
          <w:u w:val="single"/>
        </w:rPr>
      </w:r>
    </w:p>
    <w:tbl>
      <w:tblPr>
        <w:tblW w:w="9571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313"/>
        <w:gridCol w:w="580"/>
        <w:gridCol w:w="1855"/>
        <w:gridCol w:w="2247"/>
        <w:gridCol w:w="2576"/>
      </w:tblGrid>
      <w:tr>
        <w:tblPrEx/>
        <w:trPr>
          <w:trHeight w:val="364"/>
        </w:trPr>
        <w:tc>
          <w:tcPr>
            <w:tcW w:w="2317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81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000000" w:sz="4" w:space="0"/>
            </w:tcBorders>
            <w:tcW w:w="1857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000000" w:sz="4" w:space="0"/>
            </w:tcBorders>
            <w:tcW w:w="2238" w:type="dxa"/>
            <w:vAlign w:val="bottom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257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Булгаков А.В.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50"/>
        </w:trPr>
        <w:tc>
          <w:tcPr>
            <w:tcW w:w="2317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81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</w:tcBorders>
            <w:tcW w:w="1857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23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за/против/воздержался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57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(Фамилия И.О.)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</w:tbl>
    <w:p>
      <w:pPr>
        <w:pStyle w:val="916"/>
        <w:ind w:firstLine="709"/>
        <w:jc w:val="both"/>
        <w:widowControl w:val="off"/>
        <w:rPr>
          <w:u w:val="single"/>
        </w:rPr>
      </w:pPr>
      <w:r>
        <w:rPr>
          <w:u w:val="single"/>
        </w:rPr>
        <w:t xml:space="preserve">Заместитель председателя</w:t>
      </w:r>
      <w:r>
        <w:rPr>
          <w:u w:val="single"/>
        </w:rPr>
        <w:t xml:space="preserve"> </w:t>
      </w:r>
      <w:r>
        <w:rPr>
          <w:u w:val="single"/>
        </w:rPr>
        <w:t xml:space="preserve">Закупочной комиссии</w:t>
      </w:r>
      <w:r>
        <w:rPr>
          <w:u w:val="single"/>
        </w:rPr>
        <w:t xml:space="preserve">:</w:t>
      </w:r>
      <w:r>
        <w:rPr>
          <w:u w:val="single"/>
        </w:rPr>
      </w:r>
      <w:r>
        <w:rPr>
          <w:u w:val="single"/>
        </w:rPr>
      </w:r>
    </w:p>
    <w:tbl>
      <w:tblPr>
        <w:tblW w:w="9571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254"/>
        <w:gridCol w:w="570"/>
        <w:gridCol w:w="1828"/>
        <w:gridCol w:w="2380"/>
        <w:gridCol w:w="2539"/>
      </w:tblGrid>
      <w:tr>
        <w:tblPrEx/>
        <w:trPr>
          <w:trHeight w:val="364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000000" w:sz="4" w:space="0"/>
            </w:tcBorders>
            <w:tcW w:w="2380" w:type="dxa"/>
            <w:vAlign w:val="bottom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Алибекова С.В.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50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за/против/воздержался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(Фамилия И.О.)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</w:tbl>
    <w:p>
      <w:pPr>
        <w:pStyle w:val="916"/>
        <w:ind w:firstLine="709"/>
        <w:jc w:val="both"/>
        <w:spacing w:before="120"/>
        <w:widowControl w:val="off"/>
        <w:rPr>
          <w:u w:val="single"/>
        </w:rPr>
      </w:pPr>
      <w:r>
        <w:rPr>
          <w:u w:val="single"/>
        </w:rPr>
        <w:t xml:space="preserve">Члены </w:t>
      </w:r>
      <w:r>
        <w:rPr>
          <w:u w:val="single"/>
        </w:rPr>
        <w:t xml:space="preserve">Закупочной комиссии</w:t>
      </w:r>
      <w:r>
        <w:rPr>
          <w:u w:val="single"/>
        </w:rPr>
        <w:t xml:space="preserve">:</w:t>
      </w:r>
      <w:r>
        <w:rPr>
          <w:u w:val="single"/>
        </w:rPr>
      </w:r>
      <w:r>
        <w:rPr>
          <w:u w:val="single"/>
        </w:rPr>
      </w:r>
    </w:p>
    <w:tbl>
      <w:tblPr>
        <w:tblW w:w="9571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254"/>
        <w:gridCol w:w="570"/>
        <w:gridCol w:w="1828"/>
        <w:gridCol w:w="2380"/>
        <w:gridCol w:w="2539"/>
      </w:tblGrid>
      <w:tr>
        <w:tblPrEx/>
        <w:trPr>
          <w:trHeight w:val="150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</w:rPr>
              <w:t xml:space="preserve">Потылицин А.Н.</w:t>
            </w: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</w:p>
        </w:tc>
      </w:tr>
      <w:tr>
        <w:tblPrEx/>
        <w:trPr>
          <w:trHeight w:val="353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ind w:left="432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за/против/воздержался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bottom w:val="non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(Фамилия И.О.)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  <w:tr>
        <w:tblPrEx/>
        <w:trPr>
          <w:trHeight w:val="150"/>
        </w:trPr>
        <w:tc>
          <w:tcPr>
            <w:tcW w:w="2254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right w:val="none" w:color="000000" w:sz="4" w:space="0"/>
            </w:tcBorders>
            <w:tcW w:w="57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ind w:left="432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8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39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50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right w:val="none" w:color="000000" w:sz="4" w:space="0"/>
            </w:tcBorders>
            <w:tcW w:w="570" w:type="dxa"/>
            <w:vAlign w:val="top"/>
            <w:textDirection w:val="lrTb"/>
            <w:noWrap w:val="false"/>
          </w:tcPr>
          <w:p>
            <w:pPr>
              <w:pStyle w:val="916"/>
              <w:ind w:left="432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</w:rPr>
              <w:t xml:space="preserve">Галкин А.В.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  <w:tr>
        <w:tblPrEx/>
        <w:trPr>
          <w:trHeight w:val="278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right w:val="none" w:color="000000" w:sz="4" w:space="0"/>
            </w:tcBorders>
            <w:tcW w:w="570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за/против/воздержался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(Фамилия И.О.)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  <w:tr>
        <w:tblPrEx/>
        <w:trPr>
          <w:trHeight w:val="150"/>
        </w:trPr>
        <w:tc>
          <w:tcPr>
            <w:tcW w:w="2254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right w:val="none" w:color="000000" w:sz="4" w:space="0"/>
            </w:tcBorders>
            <w:tcW w:w="57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28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0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39" w:type="dxa"/>
            <w:vAlign w:val="top"/>
            <w:vMerge w:val="restart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50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</w:rPr>
              <w:t xml:space="preserve">Соловьев В.Н.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  <w:tr>
        <w:tblPrEx/>
        <w:trPr>
          <w:trHeight w:val="150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за/против/воздержался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(Фамилия И.О.)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</w:tbl>
    <w:p>
      <w:pPr>
        <w:pStyle w:val="916"/>
        <w:ind w:firstLine="709"/>
        <w:jc w:val="both"/>
        <w:widowControl w:val="off"/>
        <w:rPr>
          <w:u w:val="single"/>
        </w:rPr>
      </w:pPr>
      <w:r>
        <w:rPr>
          <w:u w:val="single"/>
        </w:rPr>
        <w:t xml:space="preserve">С</w:t>
      </w:r>
      <w:r>
        <w:rPr>
          <w:u w:val="single"/>
        </w:rPr>
        <w:t xml:space="preserve">екретарь </w:t>
      </w:r>
      <w:r>
        <w:rPr>
          <w:u w:val="single"/>
        </w:rPr>
        <w:t xml:space="preserve">Закупочной комиссии</w:t>
      </w:r>
      <w:r>
        <w:rPr>
          <w:u w:val="single"/>
        </w:rPr>
        <w:t xml:space="preserve"> (</w:t>
      </w:r>
      <w:r>
        <w:rPr>
          <w:u w:val="single"/>
        </w:rPr>
        <w:t xml:space="preserve">без права </w:t>
      </w:r>
      <w:r>
        <w:rPr>
          <w:u w:val="single"/>
        </w:rPr>
        <w:t xml:space="preserve">голоса):</w:t>
      </w:r>
      <w:r>
        <w:rPr>
          <w:u w:val="single"/>
        </w:rPr>
      </w:r>
      <w:r>
        <w:rPr>
          <w:u w:val="single"/>
        </w:rPr>
      </w:r>
    </w:p>
    <w:tbl>
      <w:tblPr>
        <w:tblW w:w="9571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254"/>
        <w:gridCol w:w="570"/>
        <w:gridCol w:w="1828"/>
        <w:gridCol w:w="2380"/>
        <w:gridCol w:w="2539"/>
      </w:tblGrid>
      <w:tr>
        <w:tblPrEx/>
        <w:trPr>
          <w:trHeight w:val="364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numPr>
                <w:ilvl w:val="0"/>
                <w:numId w:val="37"/>
              </w:numPr>
              <w:ind w:left="432"/>
              <w:jc w:val="center"/>
              <w:widowControl w:val="off"/>
              <w:tabs>
                <w:tab w:val="num" w:pos="432" w:leader="none"/>
              </w:tabs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bottom w:val="single" w:color="000000" w:sz="4" w:space="0"/>
            </w:tcBorders>
            <w:tcW w:w="2380" w:type="dxa"/>
            <w:vAlign w:val="bottom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  <w:r>
              <w:rPr>
                <w:rFonts w:eastAsia="Calibri"/>
                <w:sz w:val="16"/>
                <w:szCs w:val="16"/>
              </w:rPr>
            </w:r>
          </w:p>
        </w:tc>
        <w:tc>
          <w:tcPr>
            <w:tcBorders>
              <w:bottom w:val="singl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Смирнягина А.С.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150"/>
        </w:trPr>
        <w:tc>
          <w:tcPr>
            <w:tcW w:w="2254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570" w:type="dxa"/>
            <w:vAlign w:val="top"/>
            <w:textDirection w:val="lrTb"/>
            <w:noWrap w:val="false"/>
          </w:tcPr>
          <w:p>
            <w:pPr>
              <w:pStyle w:val="916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4" w:space="0"/>
            </w:tcBorders>
            <w:tcW w:w="1828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(Подпись)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380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tcW w:w="2539" w:type="dxa"/>
            <w:vAlign w:val="top"/>
            <w:textDirection w:val="lrTb"/>
            <w:noWrap w:val="false"/>
          </w:tcPr>
          <w:p>
            <w:pPr>
              <w:pStyle w:val="916"/>
              <w:jc w:val="center"/>
              <w:widowControl w:val="off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(Фамилия И.О.)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</w:tr>
    </w:tbl>
    <w:p>
      <w:r/>
      <w:r/>
      <w:r/>
    </w:p>
    <w:sectPr>
      <w:headerReference w:type="default" r:id="rId9"/>
      <w:footnotePr/>
      <w:endnotePr/>
      <w:type w:val="nextPage"/>
      <w:pgSz w:w="11906" w:h="16838" w:orient="portrait"/>
      <w:pgMar w:top="1021" w:right="851" w:bottom="1021" w:left="1276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113"/>
        <w:tabs>
          <w:tab w:val="num" w:pos="0" w:leader="none"/>
        </w:tabs>
      </w:pPr>
      <w:rPr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18" w:hanging="709"/>
        <w:tabs>
          <w:tab w:val="num" w:pos="1418" w:leader="none"/>
        </w:tabs>
      </w:pPr>
      <w:rPr>
        <w:rFonts w:ascii="Symbol" w:hAnsi="Symbol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pStyle w:val="936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sz w:val="24"/>
        <w:szCs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418" w:hanging="709"/>
        <w:tabs>
          <w:tab w:val="num" w:pos="1418" w:leader="none"/>
        </w:tabs>
      </w:pPr>
      <w:rPr>
        <w:rFonts w:ascii="Symbol" w:hAnsi="Symbol"/>
        <w:b w:val="0"/>
        <w:i w:val="0"/>
        <w:color w:val="000000"/>
        <w:sz w:val="24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  <w:rPr>
        <w:b/>
        <w:sz w:val="26"/>
        <w:szCs w:val="26"/>
      </w:r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134" w:hanging="1134"/>
        <w:tabs>
          <w:tab w:val="num" w:pos="1134" w:leader="none"/>
        </w:tabs>
      </w:pPr>
      <w:rPr>
        <w:b w:val="0"/>
        <w:i w:val="0"/>
      </w:rPr>
    </w:lvl>
    <w:lvl w:ilvl="4">
      <w:start w:val="1"/>
      <w:numFmt w:val="lowerLetter"/>
      <w:isLgl w:val="false"/>
      <w:suff w:val="tab"/>
      <w:lvlText w:val="%5)"/>
      <w:lvlJc w:val="left"/>
      <w:pPr>
        <w:ind w:left="1701" w:hanging="567"/>
        <w:tabs>
          <w:tab w:val="num" w:pos="1701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12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  <w:b w:val="0"/>
        <w:i w:val="0"/>
        <w:color w:val="000000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113"/>
        <w:tabs>
          <w:tab w:val="num" w:pos="0" w:leader="none"/>
        </w:tabs>
      </w:pPr>
      <w:rPr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sz w:val="24"/>
        <w:szCs w:val="24"/>
      </w:rPr>
    </w:lvl>
    <w:lvl w:ilvl="1">
      <w:start w:val="1"/>
      <w:numFmt w:val="bullet"/>
      <w:isLgl w:val="false"/>
      <w:suff w:val="tab"/>
      <w:lvlText w:val=""/>
      <w:lvlJc w:val="left"/>
      <w:pPr>
        <w:ind w:left="1418" w:hanging="709"/>
        <w:tabs>
          <w:tab w:val="num" w:pos="1418" w:leader="none"/>
        </w:tabs>
      </w:pPr>
      <w:rPr>
        <w:rFonts w:ascii="Symbol" w:hAnsi="Symbol"/>
        <w:b w:val="0"/>
        <w:i w:val="0"/>
        <w:sz w:val="24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113"/>
        <w:tabs>
          <w:tab w:val="num" w:pos="0" w:leader="none"/>
        </w:tabs>
      </w:pPr>
      <w:rPr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"/>
      <w:lvlJc w:val="left"/>
      <w:pPr>
        <w:ind w:left="792" w:hanging="432"/>
      </w:pPr>
      <w:rPr>
        <w:rFonts w:ascii="Symbol" w:hAnsi="Symbol"/>
        <w:b w:val="0"/>
        <w:i w:val="0"/>
        <w:color w:val="000000"/>
        <w:sz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8"/>
        <w:szCs w:val="28"/>
        <w:vertAlign w:val="baseline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firstLine="0"/>
        <w:tabs>
          <w:tab w:val="num" w:pos="108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8"/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/>
        <w:b w:val="0"/>
        <w:i w:val="0"/>
        <w:caps w:val="0"/>
        <w:strike w:val="0"/>
        <w:vanish w:val="0"/>
        <w:sz w:val="20"/>
        <w:szCs w:val="2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b w:val="0"/>
        <w:i w:val="0"/>
        <w:color w:val="000000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b w:val="0"/>
        <w:i w:val="0"/>
        <w:color w:val="000000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/>
        <w:b w:val="0"/>
        <w:i w:val="0"/>
        <w:color w:val="000000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27"/>
  </w:num>
  <w:num w:numId="5">
    <w:abstractNumId w:val="30"/>
  </w:num>
  <w:num w:numId="6">
    <w:abstractNumId w:val="26"/>
  </w:num>
  <w:num w:numId="7">
    <w:abstractNumId w:val="14"/>
  </w:num>
  <w:num w:numId="8">
    <w:abstractNumId w:val="20"/>
  </w:num>
  <w:num w:numId="9">
    <w:abstractNumId w:val="18"/>
  </w:num>
  <w:num w:numId="10">
    <w:abstractNumId w:val="2"/>
  </w:num>
  <w:num w:numId="11">
    <w:abstractNumId w:val="19"/>
  </w:num>
  <w:num w:numId="12">
    <w:abstractNumId w:val="23"/>
  </w:num>
  <w:num w:numId="13">
    <w:abstractNumId w:val="31"/>
  </w:num>
  <w:num w:numId="14">
    <w:abstractNumId w:val="21"/>
  </w:num>
  <w:num w:numId="15">
    <w:abstractNumId w:val="29"/>
  </w:num>
  <w:num w:numId="16">
    <w:abstractNumId w:val="11"/>
  </w:num>
  <w:num w:numId="17">
    <w:abstractNumId w:val="22"/>
  </w:num>
  <w:num w:numId="18">
    <w:abstractNumId w:val="4"/>
  </w:num>
  <w:num w:numId="19">
    <w:abstractNumId w:val="28"/>
  </w:num>
  <w:num w:numId="20">
    <w:abstractNumId w:val="6"/>
  </w:num>
  <w:num w:numId="21">
    <w:abstractNumId w:val="15"/>
  </w:num>
  <w:num w:numId="22">
    <w:abstractNumId w:val="8"/>
  </w:num>
  <w:num w:numId="23">
    <w:abstractNumId w:val="7"/>
  </w:num>
  <w:num w:numId="24">
    <w:abstractNumId w:val="16"/>
  </w:num>
  <w:num w:numId="25">
    <w:abstractNumId w:val="25"/>
  </w:num>
  <w:num w:numId="26">
    <w:abstractNumId w:val="17"/>
  </w:num>
  <w:num w:numId="27">
    <w:abstractNumId w:val="13"/>
  </w:num>
  <w:num w:numId="28">
    <w:abstractNumId w:val="5"/>
  </w:num>
  <w:num w:numId="29">
    <w:abstractNumId w:val="3"/>
  </w:num>
  <w:num w:numId="30">
    <w:abstractNumId w:val="1"/>
  </w:num>
  <w:num w:numId="31">
    <w:abstractNumId w:val="10"/>
  </w:num>
  <w:num w:numId="32">
    <w:abstractNumId w:val="24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>
    <w:name w:val="Heading 1"/>
    <w:basedOn w:val="916"/>
    <w:next w:val="916"/>
    <w:link w:val="7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9">
    <w:name w:val="Heading 1 Char"/>
    <w:link w:val="738"/>
    <w:uiPriority w:val="9"/>
    <w:rPr>
      <w:rFonts w:ascii="Arial" w:hAnsi="Arial" w:eastAsia="Arial" w:cs="Arial"/>
      <w:sz w:val="40"/>
      <w:szCs w:val="40"/>
    </w:rPr>
  </w:style>
  <w:style w:type="paragraph" w:styleId="740">
    <w:name w:val="Heading 2"/>
    <w:basedOn w:val="916"/>
    <w:next w:val="916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1">
    <w:name w:val="Heading 2 Char"/>
    <w:link w:val="740"/>
    <w:uiPriority w:val="9"/>
    <w:rPr>
      <w:rFonts w:ascii="Arial" w:hAnsi="Arial" w:eastAsia="Arial" w:cs="Arial"/>
      <w:sz w:val="34"/>
    </w:rPr>
  </w:style>
  <w:style w:type="paragraph" w:styleId="742">
    <w:name w:val="Heading 3"/>
    <w:basedOn w:val="916"/>
    <w:next w:val="916"/>
    <w:link w:val="7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3">
    <w:name w:val="Heading 3 Char"/>
    <w:link w:val="742"/>
    <w:uiPriority w:val="9"/>
    <w:rPr>
      <w:rFonts w:ascii="Arial" w:hAnsi="Arial" w:eastAsia="Arial" w:cs="Arial"/>
      <w:sz w:val="30"/>
      <w:szCs w:val="30"/>
    </w:rPr>
  </w:style>
  <w:style w:type="paragraph" w:styleId="744">
    <w:name w:val="Heading 4"/>
    <w:basedOn w:val="916"/>
    <w:next w:val="916"/>
    <w:link w:val="7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5">
    <w:name w:val="Heading 4 Char"/>
    <w:link w:val="744"/>
    <w:uiPriority w:val="9"/>
    <w:rPr>
      <w:rFonts w:ascii="Arial" w:hAnsi="Arial" w:eastAsia="Arial" w:cs="Arial"/>
      <w:b/>
      <w:bCs/>
      <w:sz w:val="26"/>
      <w:szCs w:val="26"/>
    </w:rPr>
  </w:style>
  <w:style w:type="paragraph" w:styleId="746">
    <w:name w:val="Heading 5"/>
    <w:basedOn w:val="916"/>
    <w:next w:val="916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7">
    <w:name w:val="Heading 5 Char"/>
    <w:link w:val="746"/>
    <w:uiPriority w:val="9"/>
    <w:rPr>
      <w:rFonts w:ascii="Arial" w:hAnsi="Arial" w:eastAsia="Arial" w:cs="Arial"/>
      <w:b/>
      <w:bCs/>
      <w:sz w:val="24"/>
      <w:szCs w:val="24"/>
    </w:rPr>
  </w:style>
  <w:style w:type="paragraph" w:styleId="748">
    <w:name w:val="Heading 6"/>
    <w:basedOn w:val="916"/>
    <w:next w:val="916"/>
    <w:link w:val="7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9">
    <w:name w:val="Heading 6 Char"/>
    <w:link w:val="748"/>
    <w:uiPriority w:val="9"/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916"/>
    <w:next w:val="916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>
    <w:name w:val="Heading 7 Char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2">
    <w:name w:val="Heading 8"/>
    <w:basedOn w:val="916"/>
    <w:next w:val="91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8 Char"/>
    <w:link w:val="752"/>
    <w:uiPriority w:val="9"/>
    <w:rPr>
      <w:rFonts w:ascii="Arial" w:hAnsi="Arial" w:eastAsia="Arial" w:cs="Arial"/>
      <w:i/>
      <w:iCs/>
      <w:sz w:val="22"/>
      <w:szCs w:val="22"/>
    </w:rPr>
  </w:style>
  <w:style w:type="paragraph" w:styleId="754">
    <w:name w:val="Heading 9"/>
    <w:basedOn w:val="916"/>
    <w:next w:val="916"/>
    <w:link w:val="7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>
    <w:name w:val="Heading 9 Char"/>
    <w:link w:val="754"/>
    <w:uiPriority w:val="9"/>
    <w:rPr>
      <w:rFonts w:ascii="Arial" w:hAnsi="Arial" w:eastAsia="Arial" w:cs="Arial"/>
      <w:i/>
      <w:iCs/>
      <w:sz w:val="21"/>
      <w:szCs w:val="21"/>
    </w:rPr>
  </w:style>
  <w:style w:type="paragraph" w:styleId="756">
    <w:name w:val="List Paragraph"/>
    <w:basedOn w:val="916"/>
    <w:uiPriority w:val="34"/>
    <w:qFormat/>
    <w:pPr>
      <w:contextualSpacing/>
      <w:ind w:left="720"/>
    </w:pPr>
  </w:style>
  <w:style w:type="paragraph" w:styleId="757">
    <w:name w:val="No Spacing"/>
    <w:uiPriority w:val="1"/>
    <w:qFormat/>
    <w:pPr>
      <w:spacing w:before="0" w:after="0" w:line="240" w:lineRule="auto"/>
    </w:pPr>
  </w:style>
  <w:style w:type="paragraph" w:styleId="758">
    <w:name w:val="Title"/>
    <w:basedOn w:val="916"/>
    <w:next w:val="916"/>
    <w:link w:val="7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9">
    <w:name w:val="Title Char"/>
    <w:link w:val="758"/>
    <w:uiPriority w:val="10"/>
    <w:rPr>
      <w:sz w:val="48"/>
      <w:szCs w:val="48"/>
    </w:rPr>
  </w:style>
  <w:style w:type="paragraph" w:styleId="760">
    <w:name w:val="Subtitle"/>
    <w:basedOn w:val="916"/>
    <w:next w:val="916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link w:val="760"/>
    <w:uiPriority w:val="11"/>
    <w:rPr>
      <w:sz w:val="24"/>
      <w:szCs w:val="24"/>
    </w:rPr>
  </w:style>
  <w:style w:type="paragraph" w:styleId="762">
    <w:name w:val="Quote"/>
    <w:basedOn w:val="916"/>
    <w:next w:val="916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6"/>
    <w:next w:val="916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paragraph" w:styleId="766">
    <w:name w:val="Header"/>
    <w:basedOn w:val="916"/>
    <w:link w:val="7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7">
    <w:name w:val="Header Char"/>
    <w:link w:val="766"/>
    <w:uiPriority w:val="99"/>
  </w:style>
  <w:style w:type="paragraph" w:styleId="768">
    <w:name w:val="Footer"/>
    <w:basedOn w:val="916"/>
    <w:link w:val="7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9">
    <w:name w:val="Footer Char"/>
    <w:link w:val="768"/>
    <w:uiPriority w:val="99"/>
  </w:style>
  <w:style w:type="paragraph" w:styleId="770">
    <w:name w:val="Caption"/>
    <w:basedOn w:val="916"/>
    <w:next w:val="916"/>
    <w:link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link w:val="770"/>
    <w:uiPriority w:val="35"/>
    <w:rPr>
      <w:b/>
      <w:bCs/>
      <w:color w:val="4f81bd" w:themeColor="accent1"/>
      <w:sz w:val="18"/>
      <w:szCs w:val="18"/>
    </w:rPr>
  </w:style>
  <w:style w:type="table" w:styleId="77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8">
    <w:name w:val="Hyperlink"/>
    <w:uiPriority w:val="99"/>
    <w:unhideWhenUsed/>
    <w:rPr>
      <w:color w:val="0000ff" w:themeColor="hyperlink"/>
      <w:u w:val="single"/>
    </w:rPr>
  </w:style>
  <w:style w:type="paragraph" w:styleId="899">
    <w:name w:val="footnote text"/>
    <w:basedOn w:val="916"/>
    <w:link w:val="900"/>
    <w:uiPriority w:val="99"/>
    <w:semiHidden/>
    <w:unhideWhenUsed/>
    <w:pPr>
      <w:spacing w:after="40" w:line="240" w:lineRule="auto"/>
    </w:pPr>
    <w:rPr>
      <w:sz w:val="18"/>
    </w:rPr>
  </w:style>
  <w:style w:type="character" w:styleId="900">
    <w:name w:val="Footnote Text Char"/>
    <w:link w:val="899"/>
    <w:uiPriority w:val="99"/>
    <w:rPr>
      <w:sz w:val="18"/>
    </w:rPr>
  </w:style>
  <w:style w:type="character" w:styleId="901">
    <w:name w:val="footnote reference"/>
    <w:uiPriority w:val="99"/>
    <w:unhideWhenUsed/>
    <w:rPr>
      <w:vertAlign w:val="superscript"/>
    </w:rPr>
  </w:style>
  <w:style w:type="paragraph" w:styleId="902">
    <w:name w:val="endnote text"/>
    <w:basedOn w:val="916"/>
    <w:link w:val="903"/>
    <w:uiPriority w:val="99"/>
    <w:semiHidden/>
    <w:unhideWhenUsed/>
    <w:pPr>
      <w:spacing w:after="0" w:line="240" w:lineRule="auto"/>
    </w:pPr>
    <w:rPr>
      <w:sz w:val="20"/>
    </w:rPr>
  </w:style>
  <w:style w:type="character" w:styleId="903">
    <w:name w:val="Endnote Text Char"/>
    <w:link w:val="902"/>
    <w:uiPriority w:val="99"/>
    <w:rPr>
      <w:sz w:val="20"/>
    </w:rPr>
  </w:style>
  <w:style w:type="character" w:styleId="904">
    <w:name w:val="endnote reference"/>
    <w:uiPriority w:val="99"/>
    <w:semiHidden/>
    <w:unhideWhenUsed/>
    <w:rPr>
      <w:vertAlign w:val="superscript"/>
    </w:rPr>
  </w:style>
  <w:style w:type="paragraph" w:styleId="905">
    <w:name w:val="toc 1"/>
    <w:basedOn w:val="916"/>
    <w:next w:val="916"/>
    <w:uiPriority w:val="39"/>
    <w:unhideWhenUsed/>
    <w:pPr>
      <w:ind w:left="0" w:right="0" w:firstLine="0"/>
      <w:spacing w:after="57"/>
    </w:pPr>
  </w:style>
  <w:style w:type="paragraph" w:styleId="906">
    <w:name w:val="toc 2"/>
    <w:basedOn w:val="916"/>
    <w:next w:val="916"/>
    <w:uiPriority w:val="39"/>
    <w:unhideWhenUsed/>
    <w:pPr>
      <w:ind w:left="283" w:right="0" w:firstLine="0"/>
      <w:spacing w:after="57"/>
    </w:pPr>
  </w:style>
  <w:style w:type="paragraph" w:styleId="907">
    <w:name w:val="toc 3"/>
    <w:basedOn w:val="916"/>
    <w:next w:val="916"/>
    <w:uiPriority w:val="39"/>
    <w:unhideWhenUsed/>
    <w:pPr>
      <w:ind w:left="567" w:right="0" w:firstLine="0"/>
      <w:spacing w:after="57"/>
    </w:pPr>
  </w:style>
  <w:style w:type="paragraph" w:styleId="908">
    <w:name w:val="toc 4"/>
    <w:basedOn w:val="916"/>
    <w:next w:val="916"/>
    <w:uiPriority w:val="39"/>
    <w:unhideWhenUsed/>
    <w:pPr>
      <w:ind w:left="850" w:right="0" w:firstLine="0"/>
      <w:spacing w:after="57"/>
    </w:pPr>
  </w:style>
  <w:style w:type="paragraph" w:styleId="909">
    <w:name w:val="toc 5"/>
    <w:basedOn w:val="916"/>
    <w:next w:val="916"/>
    <w:uiPriority w:val="39"/>
    <w:unhideWhenUsed/>
    <w:pPr>
      <w:ind w:left="1134" w:right="0" w:firstLine="0"/>
      <w:spacing w:after="57"/>
    </w:pPr>
  </w:style>
  <w:style w:type="paragraph" w:styleId="910">
    <w:name w:val="toc 6"/>
    <w:basedOn w:val="916"/>
    <w:next w:val="916"/>
    <w:uiPriority w:val="39"/>
    <w:unhideWhenUsed/>
    <w:pPr>
      <w:ind w:left="1417" w:right="0" w:firstLine="0"/>
      <w:spacing w:after="57"/>
    </w:pPr>
  </w:style>
  <w:style w:type="paragraph" w:styleId="911">
    <w:name w:val="toc 7"/>
    <w:basedOn w:val="916"/>
    <w:next w:val="916"/>
    <w:uiPriority w:val="39"/>
    <w:unhideWhenUsed/>
    <w:pPr>
      <w:ind w:left="1701" w:right="0" w:firstLine="0"/>
      <w:spacing w:after="57"/>
    </w:pPr>
  </w:style>
  <w:style w:type="paragraph" w:styleId="912">
    <w:name w:val="toc 8"/>
    <w:basedOn w:val="916"/>
    <w:next w:val="916"/>
    <w:uiPriority w:val="39"/>
    <w:unhideWhenUsed/>
    <w:pPr>
      <w:ind w:left="1984" w:right="0" w:firstLine="0"/>
      <w:spacing w:after="57"/>
    </w:pPr>
  </w:style>
  <w:style w:type="paragraph" w:styleId="913">
    <w:name w:val="toc 9"/>
    <w:basedOn w:val="916"/>
    <w:next w:val="916"/>
    <w:uiPriority w:val="39"/>
    <w:unhideWhenUsed/>
    <w:pPr>
      <w:ind w:left="2268" w:right="0" w:firstLine="0"/>
      <w:spacing w:after="57"/>
    </w:pPr>
  </w:style>
  <w:style w:type="paragraph" w:styleId="914">
    <w:name w:val="TOC Heading"/>
    <w:uiPriority w:val="39"/>
    <w:unhideWhenUsed/>
  </w:style>
  <w:style w:type="paragraph" w:styleId="915">
    <w:name w:val="table of figures"/>
    <w:basedOn w:val="916"/>
    <w:next w:val="916"/>
    <w:uiPriority w:val="99"/>
    <w:unhideWhenUsed/>
    <w:pPr>
      <w:spacing w:after="0" w:afterAutospacing="0"/>
    </w:pPr>
  </w:style>
  <w:style w:type="paragraph" w:styleId="916" w:default="1">
    <w:name w:val="Normal"/>
    <w:next w:val="916"/>
    <w:link w:val="916"/>
    <w:qFormat/>
    <w:rPr>
      <w:sz w:val="24"/>
      <w:szCs w:val="24"/>
      <w:lang w:val="ru-RU" w:eastAsia="ru-RU" w:bidi="ar-SA"/>
    </w:rPr>
  </w:style>
  <w:style w:type="paragraph" w:styleId="917">
    <w:name w:val="Заголовок 1,Заголовок параграфа (1.),111,Section,Section Heading,level2 hdg,Заголовок 1 Знак Знак Знак Знак Знак,Заголовок 1 Знак Знак Знак Знак Знак Знак Знак Знак,Заголовок 1 Знак Знак Знак Знак Знак Знак Знак,Document Header1,H1,Отчет ГОСТ Заг1,H11,H"/>
    <w:basedOn w:val="916"/>
    <w:next w:val="916"/>
    <w:link w:val="916"/>
    <w:uiPriority w:val="99"/>
    <w:qFormat/>
    <w:pPr>
      <w:jc w:val="both"/>
      <w:keepNext/>
      <w:outlineLvl w:val="0"/>
    </w:pPr>
    <w:rPr>
      <w:sz w:val="28"/>
      <w:szCs w:val="28"/>
    </w:rPr>
  </w:style>
  <w:style w:type="paragraph" w:styleId="918">
    <w:name w:val="Заголовок 2,h2,h21,5,Заголовок пункта (1.1),222,Reset numbering,H2,H2 Знак,Заголовок 21,Numbered text 3,21,22,23,24,25,211,221,231,26,212,232,27,213,223,233,28,214,224,234,241,251,2111,2211,2311,261,2121,2221,2321,271,2131,2231,2331,H21,2,H22,H211,H23"/>
    <w:basedOn w:val="916"/>
    <w:next w:val="916"/>
    <w:link w:val="940"/>
    <w:uiPriority w:val="99"/>
    <w:qFormat/>
    <w:pPr>
      <w:ind w:left="1134" w:hanging="1134"/>
      <w:keepNext/>
      <w:spacing w:before="360" w:after="120"/>
      <w:tabs>
        <w:tab w:val="num" w:pos="1134" w:leader="none"/>
      </w:tabs>
      <w:outlineLvl w:val="1"/>
    </w:pPr>
    <w:rPr>
      <w:b/>
      <w:sz w:val="32"/>
      <w:szCs w:val="20"/>
      <w:lang w:val="en-US" w:eastAsia="en-US"/>
    </w:rPr>
  </w:style>
  <w:style w:type="character" w:styleId="919">
    <w:name w:val="Основной шрифт абзаца"/>
    <w:next w:val="919"/>
    <w:link w:val="916"/>
    <w:semiHidden/>
  </w:style>
  <w:style w:type="table" w:styleId="920">
    <w:name w:val="Обычная таблица"/>
    <w:next w:val="920"/>
    <w:link w:val="916"/>
    <w:semiHidden/>
    <w:tblPr/>
  </w:style>
  <w:style w:type="numbering" w:styleId="921">
    <w:name w:val="Нет списка"/>
    <w:next w:val="921"/>
    <w:link w:val="916"/>
    <w:semiHidden/>
  </w:style>
  <w:style w:type="paragraph" w:styleId="922">
    <w:name w:val="Default Paragraph Font Para Char Char Знак"/>
    <w:basedOn w:val="916"/>
    <w:next w:val="922"/>
    <w:link w:val="91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23">
    <w:name w:val="Верхний колонтитул"/>
    <w:basedOn w:val="916"/>
    <w:next w:val="923"/>
    <w:link w:val="952"/>
    <w:uiPriority w:val="99"/>
    <w:pPr>
      <w:tabs>
        <w:tab w:val="center" w:pos="4677" w:leader="none"/>
        <w:tab w:val="right" w:pos="9355" w:leader="none"/>
      </w:tabs>
    </w:pPr>
  </w:style>
  <w:style w:type="character" w:styleId="924">
    <w:name w:val="Номер страницы"/>
    <w:basedOn w:val="919"/>
    <w:next w:val="924"/>
    <w:link w:val="916"/>
  </w:style>
  <w:style w:type="paragraph" w:styleId="925">
    <w:name w:val="Таблица шапка"/>
    <w:basedOn w:val="916"/>
    <w:next w:val="925"/>
    <w:link w:val="916"/>
    <w:pPr>
      <w:ind w:left="57" w:right="57"/>
      <w:keepNext/>
      <w:spacing w:before="40" w:after="40"/>
    </w:pPr>
    <w:rPr>
      <w:sz w:val="22"/>
      <w:szCs w:val="20"/>
    </w:rPr>
  </w:style>
  <w:style w:type="paragraph" w:styleId="926">
    <w:name w:val="Таблица текст"/>
    <w:basedOn w:val="916"/>
    <w:next w:val="926"/>
    <w:link w:val="916"/>
    <w:pPr>
      <w:ind w:left="57" w:right="57"/>
      <w:spacing w:before="40" w:after="40"/>
    </w:pPr>
    <w:rPr>
      <w:szCs w:val="20"/>
    </w:rPr>
  </w:style>
  <w:style w:type="character" w:styleId="927">
    <w:name w:val="комментарий"/>
    <w:next w:val="927"/>
    <w:link w:val="916"/>
    <w:rPr>
      <w:b/>
      <w:i/>
      <w:shd w:val="clear" w:color="auto" w:fill="ffff99"/>
    </w:rPr>
  </w:style>
  <w:style w:type="paragraph" w:styleId="928">
    <w:name w:val="Схема документа"/>
    <w:basedOn w:val="916"/>
    <w:next w:val="928"/>
    <w:link w:val="916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929">
    <w:name w:val="Текст выноски"/>
    <w:basedOn w:val="916"/>
    <w:next w:val="929"/>
    <w:link w:val="916"/>
    <w:semiHidden/>
    <w:rPr>
      <w:rFonts w:ascii="Tahoma" w:hAnsi="Tahoma" w:cs="Tahoma"/>
      <w:sz w:val="16"/>
      <w:szCs w:val="16"/>
    </w:rPr>
  </w:style>
  <w:style w:type="table" w:styleId="930">
    <w:name w:val="Сетка таблицы"/>
    <w:basedOn w:val="920"/>
    <w:next w:val="930"/>
    <w:link w:val="916"/>
    <w:pPr>
      <w:ind w:firstLine="567"/>
      <w:jc w:val="both"/>
      <w:spacing w:line="360" w:lineRule="auto"/>
    </w:pPr>
    <w:tblPr/>
  </w:style>
  <w:style w:type="paragraph" w:styleId="931">
    <w:name w:val="Нижний колонтитул"/>
    <w:basedOn w:val="916"/>
    <w:next w:val="931"/>
    <w:link w:val="934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32">
    <w:name w:val="Комментраий Знак"/>
    <w:next w:val="932"/>
    <w:link w:val="916"/>
    <w:rPr>
      <w:i/>
      <w:color w:val="3366ff"/>
      <w:sz w:val="28"/>
      <w:szCs w:val="28"/>
      <w:lang w:val="ru-RU" w:eastAsia="ru-RU" w:bidi="ar-SA"/>
    </w:rPr>
  </w:style>
  <w:style w:type="table" w:styleId="933">
    <w:name w:val="Сетка таблицы1"/>
    <w:basedOn w:val="920"/>
    <w:next w:val="930"/>
    <w:link w:val="916"/>
    <w:tblPr/>
  </w:style>
  <w:style w:type="character" w:styleId="934">
    <w:name w:val="Нижний колонтитул Знак"/>
    <w:next w:val="934"/>
    <w:link w:val="931"/>
    <w:uiPriority w:val="99"/>
    <w:rPr>
      <w:sz w:val="24"/>
      <w:szCs w:val="24"/>
    </w:rPr>
  </w:style>
  <w:style w:type="paragraph" w:styleId="935">
    <w:name w:val="Обычный (веб)"/>
    <w:basedOn w:val="916"/>
    <w:next w:val="935"/>
    <w:link w:val="916"/>
    <w:uiPriority w:val="99"/>
    <w:unhideWhenUsed/>
    <w:pPr>
      <w:spacing w:before="100" w:beforeAutospacing="1" w:after="100" w:afterAutospacing="1"/>
    </w:pPr>
    <w:rPr>
      <w:rFonts w:ascii="Arial" w:hAnsi="Arial" w:cs="Arial"/>
      <w:color w:val="283555"/>
      <w:sz w:val="20"/>
      <w:szCs w:val="20"/>
    </w:rPr>
  </w:style>
  <w:style w:type="paragraph" w:styleId="936">
    <w:name w:val="Подподпункт"/>
    <w:basedOn w:val="916"/>
    <w:next w:val="936"/>
    <w:link w:val="937"/>
    <w:pPr>
      <w:numPr>
        <w:ilvl w:val="0"/>
        <w:numId w:val="22"/>
      </w:numPr>
      <w:ind w:left="927" w:hanging="360"/>
      <w:jc w:val="both"/>
      <w:spacing w:line="360" w:lineRule="auto"/>
      <w:tabs>
        <w:tab w:val="num" w:pos="927" w:leader="none"/>
        <w:tab w:val="clear" w:pos="1134" w:leader="none"/>
      </w:tabs>
    </w:pPr>
    <w:rPr>
      <w:sz w:val="28"/>
      <w:szCs w:val="20"/>
      <w:lang w:val="en-US" w:eastAsia="en-US"/>
    </w:rPr>
  </w:style>
  <w:style w:type="character" w:styleId="937">
    <w:name w:val="Подподпункт Знак"/>
    <w:next w:val="937"/>
    <w:link w:val="936"/>
    <w:rPr>
      <w:sz w:val="28"/>
    </w:rPr>
  </w:style>
  <w:style w:type="paragraph" w:styleId="938">
    <w:name w:val="Абзац списка"/>
    <w:basedOn w:val="916"/>
    <w:next w:val="938"/>
    <w:link w:val="916"/>
    <w:uiPriority w:val="34"/>
    <w:qFormat/>
    <w:pPr>
      <w:contextualSpacing/>
      <w:ind w:left="720"/>
      <w:widowControl w:val="off"/>
    </w:pPr>
  </w:style>
  <w:style w:type="character" w:styleId="939">
    <w:name w:val="Font Style128"/>
    <w:next w:val="939"/>
    <w:link w:val="916"/>
    <w:rPr>
      <w:rFonts w:ascii="Times New Roman" w:hAnsi="Times New Roman" w:cs="Times New Roman"/>
      <w:color w:val="000000"/>
      <w:sz w:val="26"/>
      <w:szCs w:val="26"/>
    </w:rPr>
  </w:style>
  <w:style w:type="character" w:styleId="940">
    <w:name w:val="Заголовок 2 Знак"/>
    <w:next w:val="940"/>
    <w:link w:val="918"/>
    <w:uiPriority w:val="99"/>
    <w:rPr>
      <w:b/>
      <w:sz w:val="32"/>
    </w:rPr>
  </w:style>
  <w:style w:type="paragraph" w:styleId="941">
    <w:name w:val="Пункт"/>
    <w:basedOn w:val="916"/>
    <w:next w:val="941"/>
    <w:link w:val="916"/>
    <w:uiPriority w:val="99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942">
    <w:name w:val="Основной текст с отступом"/>
    <w:basedOn w:val="916"/>
    <w:next w:val="942"/>
    <w:link w:val="943"/>
    <w:pPr>
      <w:ind w:left="-720"/>
      <w:jc w:val="both"/>
    </w:pPr>
    <w:rPr>
      <w:lang w:val="en-US" w:eastAsia="en-US"/>
    </w:rPr>
  </w:style>
  <w:style w:type="character" w:styleId="943">
    <w:name w:val="Основной текст с отступом Знак"/>
    <w:next w:val="943"/>
    <w:link w:val="942"/>
    <w:rPr>
      <w:sz w:val="24"/>
      <w:szCs w:val="24"/>
    </w:rPr>
  </w:style>
  <w:style w:type="paragraph" w:styleId="944">
    <w:name w:val="Нумерованный список"/>
    <w:basedOn w:val="945"/>
    <w:next w:val="944"/>
    <w:link w:val="916"/>
    <w:pPr>
      <w:jc w:val="both"/>
      <w:spacing w:before="60" w:after="0" w:line="360" w:lineRule="auto"/>
      <w:tabs>
        <w:tab w:val="num" w:pos="360" w:leader="none"/>
      </w:tabs>
    </w:pPr>
    <w:rPr>
      <w:sz w:val="28"/>
    </w:rPr>
  </w:style>
  <w:style w:type="paragraph" w:styleId="945">
    <w:name w:val="Основной текст"/>
    <w:basedOn w:val="916"/>
    <w:next w:val="945"/>
    <w:link w:val="946"/>
    <w:pPr>
      <w:spacing w:after="120"/>
    </w:pPr>
    <w:rPr>
      <w:lang w:val="en-US" w:eastAsia="en-US"/>
    </w:rPr>
  </w:style>
  <w:style w:type="character" w:styleId="946">
    <w:name w:val="Основной текст Знак"/>
    <w:next w:val="946"/>
    <w:link w:val="945"/>
    <w:rPr>
      <w:sz w:val="24"/>
      <w:szCs w:val="24"/>
    </w:rPr>
  </w:style>
  <w:style w:type="character" w:styleId="947">
    <w:name w:val="Знак примечания"/>
    <w:next w:val="947"/>
    <w:link w:val="916"/>
    <w:rPr>
      <w:sz w:val="16"/>
      <w:szCs w:val="16"/>
    </w:rPr>
  </w:style>
  <w:style w:type="paragraph" w:styleId="948">
    <w:name w:val="Текст примечания"/>
    <w:basedOn w:val="916"/>
    <w:next w:val="948"/>
    <w:link w:val="949"/>
    <w:rPr>
      <w:sz w:val="20"/>
      <w:szCs w:val="20"/>
    </w:rPr>
  </w:style>
  <w:style w:type="character" w:styleId="949">
    <w:name w:val="Текст примечания Знак"/>
    <w:basedOn w:val="919"/>
    <w:next w:val="949"/>
    <w:link w:val="948"/>
  </w:style>
  <w:style w:type="paragraph" w:styleId="950">
    <w:name w:val="Тема примечания"/>
    <w:basedOn w:val="948"/>
    <w:next w:val="948"/>
    <w:link w:val="951"/>
    <w:rPr>
      <w:b/>
      <w:bCs/>
      <w:lang w:val="en-US" w:eastAsia="en-US"/>
    </w:rPr>
  </w:style>
  <w:style w:type="character" w:styleId="951">
    <w:name w:val="Тема примечания Знак"/>
    <w:next w:val="951"/>
    <w:link w:val="950"/>
    <w:rPr>
      <w:b/>
      <w:bCs/>
    </w:rPr>
  </w:style>
  <w:style w:type="character" w:styleId="952">
    <w:name w:val="Верхний колонтитул Знак"/>
    <w:next w:val="952"/>
    <w:link w:val="923"/>
    <w:uiPriority w:val="99"/>
    <w:rPr>
      <w:sz w:val="24"/>
      <w:szCs w:val="24"/>
    </w:rPr>
  </w:style>
  <w:style w:type="character" w:styleId="953" w:default="1">
    <w:name w:val="Default Paragraph Font"/>
    <w:uiPriority w:val="1"/>
    <w:semiHidden/>
    <w:unhideWhenUsed/>
  </w:style>
  <w:style w:type="numbering" w:styleId="954" w:default="1">
    <w:name w:val="No List"/>
    <w:uiPriority w:val="99"/>
    <w:semiHidden/>
    <w:unhideWhenUsed/>
  </w:style>
  <w:style w:type="table" w:styleId="95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вскрытия конвертов</dc:title>
  <cp:lastModifiedBy>smirnyagina_as</cp:lastModifiedBy>
  <cp:revision>3</cp:revision>
  <dcterms:created xsi:type="dcterms:W3CDTF">2023-10-31T08:13:00Z</dcterms:created>
  <dcterms:modified xsi:type="dcterms:W3CDTF">2026-04-01T08:44:46Z</dcterms:modified>
  <cp:version>1048576</cp:version>
</cp:coreProperties>
</file>