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F36" w:rsidRPr="00476604" w:rsidRDefault="00476604">
      <w:pPr>
        <w:tabs>
          <w:tab w:val="left" w:pos="150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g">
            <w:drawing>
              <wp:inline distT="0" distB="0" distL="0" distR="0">
                <wp:extent cx="2838450" cy="438150"/>
                <wp:effectExtent l="0" t="0" r="0" b="0"/>
                <wp:docPr id="1" name="Рисунок 1" descr="Логотип  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Логотип  PNG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838450" cy="438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50pt;height:34.5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</w:p>
    <w:p w:rsidR="00772F36" w:rsidRPr="00476604" w:rsidRDefault="00476604" w:rsidP="00685403">
      <w:pPr>
        <w:spacing w:before="240"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772F36" w:rsidRPr="00476604" w:rsidRDefault="00476604">
      <w:pPr>
        <w:spacing w:after="360"/>
        <w:jc w:val="center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>Материалы расходные и комплектующие для компьютерной и офисной оргтехники</w:t>
      </w:r>
    </w:p>
    <w:p w:rsidR="00772F36" w:rsidRPr="00476604" w:rsidRDefault="00476604">
      <w:pPr>
        <w:numPr>
          <w:ilvl w:val="0"/>
          <w:numId w:val="2"/>
        </w:numPr>
        <w:tabs>
          <w:tab w:val="clear" w:pos="0"/>
          <w:tab w:val="num" w:pos="568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КРАТКОЕ ОПИСАНИЕ ЗАКУПАЕМЫХ ТОВАРОВ:</w:t>
      </w:r>
    </w:p>
    <w:p w:rsidR="00772F36" w:rsidRPr="00476604" w:rsidRDefault="00476604">
      <w:pPr>
        <w:pStyle w:val="af9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Наименование и объем закупаемых товаров</w:t>
      </w:r>
    </w:p>
    <w:p w:rsidR="00476604" w:rsidRDefault="0047660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 xml:space="preserve">Материалы расходные и комплектующие для компьютерной и офисной оргтехники согласно </w:t>
      </w:r>
      <w:r>
        <w:rPr>
          <w:rFonts w:ascii="Times New Roman" w:hAnsi="Times New Roman" w:cs="Times New Roman"/>
          <w:sz w:val="26"/>
          <w:szCs w:val="26"/>
        </w:rPr>
        <w:t>Спецификации (</w:t>
      </w:r>
      <w:r w:rsidRPr="00476604">
        <w:rPr>
          <w:rFonts w:ascii="Times New Roman" w:hAnsi="Times New Roman" w:cs="Times New Roman"/>
          <w:sz w:val="26"/>
          <w:szCs w:val="26"/>
        </w:rPr>
        <w:t>Приложению №1</w:t>
      </w:r>
      <w:r>
        <w:rPr>
          <w:rFonts w:ascii="Times New Roman" w:hAnsi="Times New Roman" w:cs="Times New Roman"/>
          <w:sz w:val="26"/>
          <w:szCs w:val="26"/>
        </w:rPr>
        <w:t xml:space="preserve"> к ТЗ)</w:t>
      </w:r>
      <w:r w:rsidRPr="0047660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72F36" w:rsidRPr="00476604" w:rsidRDefault="0047660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 xml:space="preserve">Количество, приведенное в </w:t>
      </w:r>
      <w:r>
        <w:rPr>
          <w:rFonts w:ascii="Times New Roman" w:hAnsi="Times New Roman" w:cs="Times New Roman"/>
          <w:sz w:val="26"/>
          <w:szCs w:val="26"/>
        </w:rPr>
        <w:t>Спецификации</w:t>
      </w:r>
      <w:r w:rsidRPr="00476604">
        <w:rPr>
          <w:rFonts w:ascii="Times New Roman" w:hAnsi="Times New Roman" w:cs="Times New Roman"/>
          <w:sz w:val="26"/>
          <w:szCs w:val="26"/>
        </w:rPr>
        <w:t>, является ориентировочным. Исходя из фактических потребностей количество поставля</w:t>
      </w:r>
      <w:bookmarkStart w:id="0" w:name="_GoBack"/>
      <w:bookmarkEnd w:id="0"/>
      <w:r w:rsidRPr="00476604">
        <w:rPr>
          <w:rFonts w:ascii="Times New Roman" w:hAnsi="Times New Roman" w:cs="Times New Roman"/>
          <w:sz w:val="26"/>
          <w:szCs w:val="26"/>
        </w:rPr>
        <w:t>емого товара может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поставки.</w:t>
      </w:r>
    </w:p>
    <w:p w:rsidR="00772F36" w:rsidRPr="00476604" w:rsidRDefault="00476604" w:rsidP="00476604">
      <w:pPr>
        <w:pStyle w:val="af9"/>
        <w:numPr>
          <w:ilvl w:val="1"/>
          <w:numId w:val="3"/>
        </w:numPr>
        <w:spacing w:after="0"/>
        <w:ind w:left="357" w:hanging="35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Сроки поставки товаров</w:t>
      </w:r>
    </w:p>
    <w:p w:rsidR="00772F36" w:rsidRPr="00476604" w:rsidRDefault="00476604">
      <w:pPr>
        <w:pStyle w:val="af9"/>
        <w:spacing w:before="160"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 xml:space="preserve">Начало поставки – </w:t>
      </w:r>
      <w:r>
        <w:rPr>
          <w:rFonts w:ascii="Times New Roman" w:hAnsi="Times New Roman" w:cs="Times New Roman"/>
          <w:sz w:val="26"/>
          <w:szCs w:val="26"/>
        </w:rPr>
        <w:t>01.02.2025</w:t>
      </w:r>
      <w:r w:rsidRPr="00476604">
        <w:rPr>
          <w:rFonts w:ascii="Times New Roman" w:hAnsi="Times New Roman" w:cs="Times New Roman"/>
          <w:sz w:val="26"/>
          <w:szCs w:val="26"/>
        </w:rPr>
        <w:t>.</w:t>
      </w:r>
    </w:p>
    <w:p w:rsidR="00772F36" w:rsidRPr="00476604" w:rsidRDefault="00476604">
      <w:pPr>
        <w:pStyle w:val="af9"/>
        <w:spacing w:before="160"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>Окончание поставки – 31.12.2025 г.</w:t>
      </w:r>
    </w:p>
    <w:p w:rsidR="00772F36" w:rsidRPr="00476604" w:rsidRDefault="00476604">
      <w:pPr>
        <w:pStyle w:val="af9"/>
        <w:numPr>
          <w:ilvl w:val="1"/>
          <w:numId w:val="3"/>
        </w:numPr>
        <w:spacing w:before="160"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Возможность поставки эквивалентного товара</w:t>
      </w:r>
    </w:p>
    <w:p w:rsidR="00772F36" w:rsidRPr="00476604" w:rsidRDefault="0047660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 xml:space="preserve">Применение эквивалента возможно при условии соответствия товара по функциональным, техническим характеристикам и условиям применения не ниже требуемых в ТЗ, а также при предоставлении участником закупки развернутого сравнения по функциональным, техническим характеристикам и условиям применения. При этом поставляемый товар должен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 </w:t>
      </w:r>
    </w:p>
    <w:p w:rsidR="00772F36" w:rsidRPr="00476604" w:rsidRDefault="00476604" w:rsidP="00685403">
      <w:pPr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ОБЩИЕ ТРЕБОВАНИЯ</w:t>
      </w:r>
      <w:r w:rsidRPr="00476604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Pr="00476604">
        <w:rPr>
          <w:rFonts w:ascii="Times New Roman" w:hAnsi="Times New Roman" w:cs="Times New Roman"/>
          <w:b/>
          <w:sz w:val="26"/>
          <w:szCs w:val="26"/>
        </w:rPr>
        <w:t>К ТОВАРУ</w:t>
      </w:r>
    </w:p>
    <w:p w:rsidR="00772F36" w:rsidRPr="00476604" w:rsidRDefault="00476604">
      <w:pPr>
        <w:numPr>
          <w:ilvl w:val="1"/>
          <w:numId w:val="4"/>
        </w:numPr>
        <w:spacing w:after="0"/>
        <w:ind w:left="567" w:hanging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Место применения, использования товара</w:t>
      </w:r>
    </w:p>
    <w:p w:rsidR="00772F36" w:rsidRPr="00476604" w:rsidRDefault="00476604" w:rsidP="00476604">
      <w:pPr>
        <w:pStyle w:val="af9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 xml:space="preserve">Приобретение расходных материалов и комплектующих для компьютерной и офисной техники позволит осуществлять бесперебойную работу компьютеров и офисной техники АО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476604">
        <w:rPr>
          <w:rFonts w:ascii="Times New Roman" w:hAnsi="Times New Roman" w:cs="Times New Roman"/>
          <w:sz w:val="26"/>
          <w:szCs w:val="26"/>
        </w:rPr>
        <w:t>Томскэнергосбыт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476604">
        <w:rPr>
          <w:rFonts w:ascii="Times New Roman" w:hAnsi="Times New Roman" w:cs="Times New Roman"/>
          <w:sz w:val="26"/>
          <w:szCs w:val="26"/>
        </w:rPr>
        <w:t>.</w:t>
      </w:r>
    </w:p>
    <w:p w:rsidR="00772F36" w:rsidRPr="00476604" w:rsidRDefault="00476604">
      <w:pPr>
        <w:pStyle w:val="af9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Требование к товару</w:t>
      </w:r>
    </w:p>
    <w:p w:rsidR="00772F36" w:rsidRPr="00476604" w:rsidRDefault="00476604" w:rsidP="00476604">
      <w:pPr>
        <w:pStyle w:val="af9"/>
        <w:spacing w:before="160"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>Товар должен поставляться в оригинальной (заводской) упаковке, способной предотвратить его повреждение или порчу во время перевозки, передачи Покупателю и дальнейшего хранения. Упаковка не должна быть деформирована и нарушена.</w:t>
      </w:r>
    </w:p>
    <w:p w:rsidR="00772F36" w:rsidRPr="00476604" w:rsidRDefault="00476604">
      <w:pPr>
        <w:pStyle w:val="af9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Требования о соответствии товара обязательным требованиям законодательства о техническом регулировании</w:t>
      </w:r>
    </w:p>
    <w:p w:rsidR="00772F36" w:rsidRPr="00476604" w:rsidRDefault="00476604">
      <w:pPr>
        <w:tabs>
          <w:tab w:val="num" w:pos="851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>Не требуются.</w:t>
      </w:r>
    </w:p>
    <w:p w:rsidR="00772F36" w:rsidRPr="00476604" w:rsidRDefault="00476604" w:rsidP="00476604">
      <w:pPr>
        <w:pStyle w:val="af9"/>
        <w:numPr>
          <w:ilvl w:val="1"/>
          <w:numId w:val="4"/>
        </w:numPr>
        <w:spacing w:after="0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Требования о добровольной сертификации товаров</w:t>
      </w:r>
    </w:p>
    <w:p w:rsidR="00772F36" w:rsidRPr="00476604" w:rsidRDefault="00476604">
      <w:pPr>
        <w:tabs>
          <w:tab w:val="num" w:pos="851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>Не требуются.</w:t>
      </w:r>
    </w:p>
    <w:p w:rsidR="00772F36" w:rsidRPr="00476604" w:rsidRDefault="00476604" w:rsidP="00476604">
      <w:pPr>
        <w:pStyle w:val="af9"/>
        <w:numPr>
          <w:ilvl w:val="1"/>
          <w:numId w:val="4"/>
        </w:numPr>
        <w:spacing w:after="0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lastRenderedPageBreak/>
        <w:t>Требования к гарантийному сроку и (или) объёму предоставления гарантий качества на поставляемый товар</w:t>
      </w:r>
    </w:p>
    <w:p w:rsidR="00772F36" w:rsidRPr="00476604" w:rsidRDefault="00476604">
      <w:pPr>
        <w:pStyle w:val="af9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>С момента приемки товара Покупателем устанавливается гарантийный срок в соответствии с гарантийными обязательствами производителя товара, не менее 6 (шести) месяцев с момента получения товара Покупателем.</w:t>
      </w:r>
    </w:p>
    <w:p w:rsidR="00772F36" w:rsidRPr="00476604" w:rsidRDefault="00476604">
      <w:pPr>
        <w:pStyle w:val="af9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Требования по осуществлению сопутствующих работ при поставке товаров</w:t>
      </w:r>
    </w:p>
    <w:p w:rsidR="00772F36" w:rsidRPr="00476604" w:rsidRDefault="00476604" w:rsidP="0047660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>Не требуются</w:t>
      </w:r>
      <w:r w:rsidRPr="00476604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772F36" w:rsidRPr="00476604" w:rsidRDefault="00772F36" w:rsidP="0047660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72F36" w:rsidRPr="00476604" w:rsidRDefault="0047660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ТРЕБОВАНИЯ К ВЫПОЛНЕНИЮ ПОСТАВКИ ТОВАРОВ</w:t>
      </w:r>
    </w:p>
    <w:p w:rsidR="00772F36" w:rsidRPr="00476604" w:rsidRDefault="00476604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Требования к отгрузке и доставке приобретаемых товаров</w:t>
      </w:r>
    </w:p>
    <w:p w:rsidR="00772F36" w:rsidRPr="00476604" w:rsidRDefault="0047660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>Заказ товара осуществляется ежемесячно, по заявке уполномоченного сотрудника АО «Томскэнергосбыт».</w:t>
      </w:r>
    </w:p>
    <w:p w:rsidR="00772F36" w:rsidRPr="00476604" w:rsidRDefault="0047660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>Покупатель направляет Поставщику по факсимильной связи, электронной почте или путем доставки представителем Покупателя заявки на поставку Товара за 14 дней до предполагаемой даты отгрузки Товара. Заявки оформляются в письменной форме и должны содержать: наименование требуемого Товара, количество и сроки поставки каждой конкретной партии Товара. Количество заявок в течение срока действия договора не ограничено.</w:t>
      </w:r>
    </w:p>
    <w:p w:rsidR="00772F36" w:rsidRPr="00476604" w:rsidRDefault="0047660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>На каждое наименование Товара, в зависимости от сложности исполнения заказа, в заявках могут указываться различные сроки поставки по согласованию между Покупателем и Поставщиком. Если иное не установлено в заявке, поставка Товара осуществляется в течение 14 дней после подачи заявок.</w:t>
      </w:r>
    </w:p>
    <w:p w:rsidR="00772F36" w:rsidRPr="00476604" w:rsidRDefault="00476604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</w:p>
    <w:p w:rsidR="00772F36" w:rsidRPr="00476604" w:rsidRDefault="0047660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>Погрузка товара, его доставка до склада Покупателя и разгрузка на складе Покупателя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 уплатой таможенных пошлин, налогов, сборов и других обязательных платежей.</w:t>
      </w:r>
    </w:p>
    <w:p w:rsidR="00772F36" w:rsidRPr="00476604" w:rsidRDefault="00476604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>Поставка закупаемых товаров должна быть осуществлена до склада покупателя, находящегося по адресу: 634034, г. Томск, ул. Котовского, д.19. Доставка осуществляются в рабочие дни, с понедельника по четверг с 8:00 до 12:00 и с 12:48 до 17:00, в пятницу с 8:00 до 12:00 и с 12:48 до 16:00.</w:t>
      </w:r>
    </w:p>
    <w:p w:rsidR="00772F36" w:rsidRPr="00476604" w:rsidRDefault="00476604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Требования к таре и упаковке приобретаемых товаров</w:t>
      </w:r>
    </w:p>
    <w:p w:rsidR="00772F36" w:rsidRPr="00476604" w:rsidRDefault="0047660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:rsidR="00772F36" w:rsidRPr="00476604" w:rsidRDefault="00476604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Требования к приемке товаров</w:t>
      </w:r>
    </w:p>
    <w:p w:rsidR="00772F36" w:rsidRPr="00476604" w:rsidRDefault="0047660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Покупателя. </w:t>
      </w:r>
    </w:p>
    <w:p w:rsidR="00772F36" w:rsidRPr="00476604" w:rsidRDefault="0047660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lastRenderedPageBreak/>
        <w:t>Товары должны быть поставлены вместе с комплектом товарораспределительной документации.</w:t>
      </w:r>
    </w:p>
    <w:p w:rsidR="00772F36" w:rsidRPr="00476604" w:rsidRDefault="0047660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>Заказчик имеет право при приемке Товара проводить проверку качества Товара, в том числе с привлечением третьих лиц.</w:t>
      </w:r>
    </w:p>
    <w:p w:rsidR="00772F36" w:rsidRPr="00476604" w:rsidRDefault="0047660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>В случае если в результате проверки качества выявляются факты несоответствия характеристик Товара одному или нескольким требованиям производителя оборудования, для которого закупается Товар, такой Товар признается Товаром ненадлежащего качества и подлежит замене Поставщиком.</w:t>
      </w:r>
    </w:p>
    <w:p w:rsidR="00772F36" w:rsidRPr="00476604" w:rsidRDefault="00476604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Требования</w:t>
      </w:r>
      <w:r w:rsidRPr="00476604">
        <w:rPr>
          <w:rFonts w:ascii="Times New Roman" w:eastAsiaTheme="minorEastAsia" w:hAnsi="Times New Roman" w:cs="Times New Roman"/>
          <w:b/>
          <w:sz w:val="26"/>
          <w:szCs w:val="26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772F36" w:rsidRPr="00476604" w:rsidRDefault="0047660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:rsidR="00772F36" w:rsidRPr="00476604" w:rsidRDefault="0047660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hAnsi="Times New Roman" w:cs="Times New Roman"/>
          <w:sz w:val="26"/>
          <w:szCs w:val="26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:rsidR="00772F36" w:rsidRPr="00476604" w:rsidRDefault="00476604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Прочие требования к поставке товаров</w:t>
      </w:r>
    </w:p>
    <w:p w:rsidR="00772F36" w:rsidRPr="00476604" w:rsidRDefault="00476604" w:rsidP="00476604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6604">
        <w:rPr>
          <w:rFonts w:ascii="Times New Roman" w:eastAsia="Times New Roman" w:hAnsi="Times New Roman" w:cs="Times New Roman"/>
          <w:sz w:val="26"/>
          <w:szCs w:val="26"/>
        </w:rPr>
        <w:t xml:space="preserve">Не </w:t>
      </w:r>
      <w:r w:rsidRPr="00476604">
        <w:rPr>
          <w:rFonts w:ascii="Times New Roman" w:hAnsi="Times New Roman" w:cs="Times New Roman"/>
          <w:sz w:val="26"/>
          <w:szCs w:val="26"/>
        </w:rPr>
        <w:t>требуются</w:t>
      </w:r>
      <w:r w:rsidRPr="0047660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72F36" w:rsidRPr="00476604" w:rsidRDefault="00476604" w:rsidP="00685403">
      <w:pPr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:rsidR="00772F36" w:rsidRPr="00476604" w:rsidRDefault="00476604" w:rsidP="00476604">
      <w:pPr>
        <w:pStyle w:val="af9"/>
        <w:spacing w:after="0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476604">
        <w:rPr>
          <w:rFonts w:ascii="Times New Roman" w:eastAsiaTheme="minorEastAsia" w:hAnsi="Times New Roman" w:cs="Times New Roman"/>
          <w:sz w:val="26"/>
          <w:szCs w:val="26"/>
        </w:rPr>
        <w:t>Участник формирует своё коммерческое предложение в соответствии со Спецификацией (Приложение №1) и формами (инструкциями), указанными в закупочной документации.</w:t>
      </w:r>
    </w:p>
    <w:p w:rsidR="00772F36" w:rsidRPr="00476604" w:rsidRDefault="00476604" w:rsidP="00476604">
      <w:pPr>
        <w:pStyle w:val="af9"/>
        <w:spacing w:after="0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6604">
        <w:rPr>
          <w:rFonts w:ascii="Times New Roman" w:eastAsiaTheme="minorEastAsia" w:hAnsi="Times New Roman" w:cs="Times New Roman"/>
          <w:sz w:val="26"/>
          <w:szCs w:val="26"/>
        </w:rPr>
        <w:t>Расчет осуществляется за каждую партию товара в срок не более 7 (семи) рабочих дней с даты приемки товара Покупателем на основании выставленного счета и товарной накладной.</w:t>
      </w:r>
    </w:p>
    <w:p w:rsidR="00772F36" w:rsidRPr="00476604" w:rsidRDefault="00476604" w:rsidP="00476604">
      <w:pPr>
        <w:pStyle w:val="af9"/>
        <w:spacing w:after="0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476604">
        <w:rPr>
          <w:rFonts w:ascii="Times New Roman" w:eastAsiaTheme="minorEastAsia" w:hAnsi="Times New Roman" w:cs="Times New Roman"/>
          <w:sz w:val="26"/>
          <w:szCs w:val="26"/>
        </w:rPr>
        <w:t>Полная информация по требованиям п. 4 Технического задания указана в проекте Договора, являющемся приложением к закупочной документации.</w:t>
      </w:r>
    </w:p>
    <w:p w:rsidR="00772F36" w:rsidRPr="00476604" w:rsidRDefault="00476604" w:rsidP="00685403">
      <w:pPr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ТРЕБОВАНИЯ К УЧАСТНИКАМ ЗАКУПКИ</w:t>
      </w:r>
    </w:p>
    <w:p w:rsidR="00772F36" w:rsidRPr="00476604" w:rsidRDefault="00476604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Требования о наличии аккредитации в Группе «Интер РАО»</w:t>
      </w:r>
    </w:p>
    <w:p w:rsidR="00772F36" w:rsidRPr="00476604" w:rsidRDefault="00476604">
      <w:pPr>
        <w:pStyle w:val="af9"/>
        <w:spacing w:after="0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6604">
        <w:rPr>
          <w:rFonts w:ascii="Times New Roman" w:eastAsia="Times New Roman" w:hAnsi="Times New Roman" w:cs="Times New Roman"/>
          <w:sz w:val="26"/>
          <w:szCs w:val="26"/>
        </w:rPr>
        <w:t>Не требуются.</w:t>
      </w:r>
    </w:p>
    <w:p w:rsidR="00772F36" w:rsidRPr="00476604" w:rsidRDefault="00476604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Требования о наличии сертифицированных систем менеджмента</w:t>
      </w:r>
    </w:p>
    <w:p w:rsidR="00772F36" w:rsidRPr="00476604" w:rsidRDefault="0047660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6604">
        <w:rPr>
          <w:rFonts w:ascii="Times New Roman" w:eastAsia="Times New Roman" w:hAnsi="Times New Roman" w:cs="Times New Roman"/>
          <w:sz w:val="26"/>
          <w:szCs w:val="26"/>
        </w:rPr>
        <w:t xml:space="preserve">Не </w:t>
      </w:r>
      <w:r w:rsidRPr="00476604">
        <w:rPr>
          <w:rFonts w:ascii="Times New Roman" w:hAnsi="Times New Roman" w:cs="Times New Roman"/>
          <w:sz w:val="26"/>
          <w:szCs w:val="26"/>
        </w:rPr>
        <w:t>требуются</w:t>
      </w:r>
      <w:r w:rsidRPr="0047660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72F36" w:rsidRPr="00476604" w:rsidRDefault="00476604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Требования к опыту поставки товаров</w:t>
      </w:r>
    </w:p>
    <w:p w:rsidR="00772F36" w:rsidRPr="00476604" w:rsidRDefault="00476604">
      <w:pPr>
        <w:pStyle w:val="af9"/>
        <w:spacing w:after="0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6604">
        <w:rPr>
          <w:rFonts w:ascii="Times New Roman" w:eastAsia="Times New Roman" w:hAnsi="Times New Roman" w:cs="Times New Roman"/>
          <w:sz w:val="26"/>
          <w:szCs w:val="26"/>
        </w:rPr>
        <w:t xml:space="preserve">Не </w:t>
      </w:r>
      <w:r w:rsidRPr="00476604">
        <w:rPr>
          <w:rFonts w:ascii="Times New Roman" w:hAnsi="Times New Roman" w:cs="Times New Roman"/>
          <w:sz w:val="26"/>
          <w:szCs w:val="26"/>
        </w:rPr>
        <w:t>требуются</w:t>
      </w:r>
      <w:r w:rsidRPr="0047660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72F36" w:rsidRPr="00476604" w:rsidRDefault="00476604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Требования о предоставлении информации о производителе и о подтверждении отношений с ним)</w:t>
      </w:r>
    </w:p>
    <w:p w:rsidR="00772F36" w:rsidRPr="00476604" w:rsidRDefault="00476604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eastAsia="Times New Roman" w:hAnsi="Times New Roman" w:cs="Times New Roman"/>
          <w:sz w:val="26"/>
          <w:szCs w:val="26"/>
        </w:rPr>
        <w:t xml:space="preserve">Участник закупки в своём предложении указывает наименование производителя предлагаемого к поставке товара. </w:t>
      </w:r>
    </w:p>
    <w:p w:rsidR="00772F36" w:rsidRPr="00476604" w:rsidRDefault="00476604" w:rsidP="00685403">
      <w:pPr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604">
        <w:rPr>
          <w:rFonts w:ascii="Times New Roman" w:hAnsi="Times New Roman" w:cs="Times New Roman"/>
          <w:b/>
          <w:sz w:val="26"/>
          <w:szCs w:val="26"/>
        </w:rPr>
        <w:t>ПРИЛОЖЕНИЯ</w:t>
      </w:r>
    </w:p>
    <w:p w:rsidR="00772F36" w:rsidRPr="00476604" w:rsidRDefault="00476604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6604">
        <w:rPr>
          <w:rFonts w:ascii="Times New Roman" w:eastAsia="Times New Roman" w:hAnsi="Times New Roman" w:cs="Times New Roman"/>
          <w:sz w:val="26"/>
          <w:szCs w:val="26"/>
        </w:rPr>
        <w:lastRenderedPageBreak/>
        <w:t>1. Приложение №1 - Спецификация (прилагается в формате *.</w:t>
      </w:r>
      <w:proofErr w:type="spellStart"/>
      <w:r w:rsidRPr="00476604">
        <w:rPr>
          <w:rFonts w:ascii="Times New Roman" w:eastAsia="Times New Roman" w:hAnsi="Times New Roman" w:cs="Times New Roman"/>
          <w:sz w:val="26"/>
          <w:szCs w:val="26"/>
        </w:rPr>
        <w:t>xlsx</w:t>
      </w:r>
      <w:proofErr w:type="spellEnd"/>
      <w:r w:rsidRPr="00476604">
        <w:rPr>
          <w:rFonts w:ascii="Times New Roman" w:eastAsia="Times New Roman" w:hAnsi="Times New Roman" w:cs="Times New Roman"/>
          <w:sz w:val="26"/>
          <w:szCs w:val="26"/>
        </w:rPr>
        <w:t>)</w:t>
      </w:r>
    </w:p>
    <w:sectPr w:rsidR="00772F36" w:rsidRPr="00476604">
      <w:headerReference w:type="default" r:id="rId12"/>
      <w:pgSz w:w="11906" w:h="16838"/>
      <w:pgMar w:top="1134" w:right="709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2F36" w:rsidRDefault="00476604">
      <w:pPr>
        <w:spacing w:after="0" w:line="240" w:lineRule="auto"/>
      </w:pPr>
      <w:r>
        <w:separator/>
      </w:r>
    </w:p>
  </w:endnote>
  <w:endnote w:type="continuationSeparator" w:id="0">
    <w:p w:rsidR="00772F36" w:rsidRDefault="00476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2F36" w:rsidRDefault="00476604">
      <w:pPr>
        <w:spacing w:after="0" w:line="240" w:lineRule="auto"/>
      </w:pPr>
      <w:r>
        <w:separator/>
      </w:r>
    </w:p>
  </w:footnote>
  <w:footnote w:type="continuationSeparator" w:id="0">
    <w:p w:rsidR="00772F36" w:rsidRDefault="00476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14364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72F36" w:rsidRPr="00476604" w:rsidRDefault="00476604" w:rsidP="00476604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7660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660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660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76604">
          <w:rPr>
            <w:rFonts w:ascii="Times New Roman" w:hAnsi="Times New Roman" w:cs="Times New Roman"/>
            <w:sz w:val="24"/>
            <w:szCs w:val="24"/>
          </w:rPr>
          <w:t>2</w:t>
        </w:r>
        <w:r w:rsidRPr="0047660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063EB"/>
    <w:multiLevelType w:val="multilevel"/>
    <w:tmpl w:val="B088D38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179D1BE7"/>
    <w:multiLevelType w:val="multilevel"/>
    <w:tmpl w:val="A69E7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D5E4FF2"/>
    <w:multiLevelType w:val="multilevel"/>
    <w:tmpl w:val="8E8030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6AD94276"/>
    <w:multiLevelType w:val="multilevel"/>
    <w:tmpl w:val="F9A4A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71DB3B78"/>
    <w:multiLevelType w:val="multilevel"/>
    <w:tmpl w:val="6F2A0418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5" w15:restartNumberingAfterBreak="0">
    <w:nsid w:val="77361CCE"/>
    <w:multiLevelType w:val="hybridMultilevel"/>
    <w:tmpl w:val="8B585604"/>
    <w:lvl w:ilvl="0" w:tplc="3F48025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6FE2C478">
      <w:start w:val="1"/>
      <w:numFmt w:val="decimal"/>
      <w:lvlText w:val="2.%2."/>
      <w:lvlJc w:val="left"/>
      <w:pPr>
        <w:ind w:left="1440" w:hanging="360"/>
      </w:pPr>
      <w:rPr>
        <w:rFonts w:hint="default"/>
        <w:b/>
      </w:rPr>
    </w:lvl>
    <w:lvl w:ilvl="2" w:tplc="E5207E34">
      <w:start w:val="1"/>
      <w:numFmt w:val="lowerRoman"/>
      <w:lvlText w:val="%3."/>
      <w:lvlJc w:val="right"/>
      <w:pPr>
        <w:ind w:left="2160" w:hanging="180"/>
      </w:pPr>
    </w:lvl>
    <w:lvl w:ilvl="3" w:tplc="2D0C9332">
      <w:start w:val="1"/>
      <w:numFmt w:val="decimal"/>
      <w:lvlText w:val="%4."/>
      <w:lvlJc w:val="left"/>
      <w:pPr>
        <w:ind w:left="2880" w:hanging="360"/>
      </w:pPr>
    </w:lvl>
    <w:lvl w:ilvl="4" w:tplc="8922748C">
      <w:start w:val="1"/>
      <w:numFmt w:val="lowerLetter"/>
      <w:lvlText w:val="%5."/>
      <w:lvlJc w:val="left"/>
      <w:pPr>
        <w:ind w:left="3600" w:hanging="360"/>
      </w:pPr>
    </w:lvl>
    <w:lvl w:ilvl="5" w:tplc="B55AB8D0">
      <w:start w:val="1"/>
      <w:numFmt w:val="lowerRoman"/>
      <w:lvlText w:val="%6."/>
      <w:lvlJc w:val="right"/>
      <w:pPr>
        <w:ind w:left="4320" w:hanging="180"/>
      </w:pPr>
    </w:lvl>
    <w:lvl w:ilvl="6" w:tplc="84D8F070">
      <w:start w:val="1"/>
      <w:numFmt w:val="decimal"/>
      <w:lvlText w:val="%7."/>
      <w:lvlJc w:val="left"/>
      <w:pPr>
        <w:ind w:left="5040" w:hanging="360"/>
      </w:pPr>
    </w:lvl>
    <w:lvl w:ilvl="7" w:tplc="7D4A1EA4">
      <w:start w:val="1"/>
      <w:numFmt w:val="lowerLetter"/>
      <w:lvlText w:val="%8."/>
      <w:lvlJc w:val="left"/>
      <w:pPr>
        <w:ind w:left="5760" w:hanging="360"/>
      </w:pPr>
    </w:lvl>
    <w:lvl w:ilvl="8" w:tplc="BFA0E55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04F9E"/>
    <w:multiLevelType w:val="hybridMultilevel"/>
    <w:tmpl w:val="52585140"/>
    <w:lvl w:ilvl="0" w:tplc="548849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D42FEF2">
      <w:start w:val="1"/>
      <w:numFmt w:val="lowerLetter"/>
      <w:lvlText w:val="%2."/>
      <w:lvlJc w:val="left"/>
      <w:pPr>
        <w:ind w:left="1788" w:hanging="360"/>
      </w:pPr>
    </w:lvl>
    <w:lvl w:ilvl="2" w:tplc="1FE026B0">
      <w:start w:val="1"/>
      <w:numFmt w:val="lowerRoman"/>
      <w:lvlText w:val="%3."/>
      <w:lvlJc w:val="right"/>
      <w:pPr>
        <w:ind w:left="2508" w:hanging="180"/>
      </w:pPr>
    </w:lvl>
    <w:lvl w:ilvl="3" w:tplc="8B9EBAFA">
      <w:start w:val="1"/>
      <w:numFmt w:val="decimal"/>
      <w:lvlText w:val="%4."/>
      <w:lvlJc w:val="left"/>
      <w:pPr>
        <w:ind w:left="3228" w:hanging="360"/>
      </w:pPr>
    </w:lvl>
    <w:lvl w:ilvl="4" w:tplc="A6E2B8AC">
      <w:start w:val="1"/>
      <w:numFmt w:val="lowerLetter"/>
      <w:lvlText w:val="%5."/>
      <w:lvlJc w:val="left"/>
      <w:pPr>
        <w:ind w:left="3948" w:hanging="360"/>
      </w:pPr>
    </w:lvl>
    <w:lvl w:ilvl="5" w:tplc="32682A84">
      <w:start w:val="1"/>
      <w:numFmt w:val="lowerRoman"/>
      <w:lvlText w:val="%6."/>
      <w:lvlJc w:val="right"/>
      <w:pPr>
        <w:ind w:left="4668" w:hanging="180"/>
      </w:pPr>
    </w:lvl>
    <w:lvl w:ilvl="6" w:tplc="929A9EE0">
      <w:start w:val="1"/>
      <w:numFmt w:val="decimal"/>
      <w:lvlText w:val="%7."/>
      <w:lvlJc w:val="left"/>
      <w:pPr>
        <w:ind w:left="5388" w:hanging="360"/>
      </w:pPr>
    </w:lvl>
    <w:lvl w:ilvl="7" w:tplc="756E9F4E">
      <w:start w:val="1"/>
      <w:numFmt w:val="lowerLetter"/>
      <w:lvlText w:val="%8."/>
      <w:lvlJc w:val="left"/>
      <w:pPr>
        <w:ind w:left="6108" w:hanging="360"/>
      </w:pPr>
    </w:lvl>
    <w:lvl w:ilvl="8" w:tplc="13C493C4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F36"/>
    <w:rsid w:val="00476604"/>
    <w:rsid w:val="00685403"/>
    <w:rsid w:val="006D1AC9"/>
    <w:rsid w:val="0077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55A3FC-740B-4D1A-BC67-35881C759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af0">
    <w:name w:val="head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</w:style>
  <w:style w:type="paragraph" w:styleId="af2">
    <w:name w:val="footnote text"/>
    <w:basedOn w:val="a"/>
    <w:link w:val="af3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rPr>
      <w:vertAlign w:val="superscript"/>
    </w:rPr>
  </w:style>
  <w:style w:type="paragraph" w:styleId="af5">
    <w:name w:val="Balloon Text"/>
    <w:basedOn w:val="a"/>
    <w:link w:val="af6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Pr>
      <w:rFonts w:ascii="Tahoma" w:hAnsi="Tahoma" w:cs="Tahoma"/>
      <w:sz w:val="16"/>
      <w:szCs w:val="16"/>
    </w:rPr>
  </w:style>
  <w:style w:type="paragraph" w:styleId="af7">
    <w:name w:val="footer"/>
    <w:basedOn w:val="a"/>
    <w:link w:val="af8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</w:style>
  <w:style w:type="paragraph" w:styleId="af9">
    <w:name w:val="List Paragraph"/>
    <w:basedOn w:val="a"/>
    <w:link w:val="af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a">
    <w:name w:val="Абзац списка Знак"/>
    <w:link w:val="af9"/>
    <w:uiPriority w:val="34"/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Pr>
      <w:rFonts w:ascii="Calibri" w:eastAsia="Times New Roman" w:hAnsi="Calibri" w:cs="Times New Roman"/>
      <w:b/>
      <w:bCs/>
      <w:sz w:val="28"/>
      <w:szCs w:val="28"/>
    </w:rPr>
  </w:style>
  <w:style w:type="character" w:styleId="afb">
    <w:name w:val="annotation reference"/>
    <w:basedOn w:val="a0"/>
    <w:unhideWhenUsed/>
    <w:rPr>
      <w:sz w:val="16"/>
      <w:szCs w:val="16"/>
    </w:rPr>
  </w:style>
  <w:style w:type="paragraph" w:styleId="afc">
    <w:name w:val="annotation text"/>
    <w:basedOn w:val="a"/>
    <w:link w:val="afd"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Pr>
      <w:sz w:val="20"/>
      <w:szCs w:val="20"/>
    </w:rPr>
  </w:style>
  <w:style w:type="paragraph" w:styleId="afe">
    <w:name w:val="annotation subject"/>
    <w:basedOn w:val="afc"/>
    <w:next w:val="afc"/>
    <w:link w:val="aff"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rPr>
      <w:b/>
      <w:bCs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</w:style>
  <w:style w:type="table" w:styleId="aff0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Hyperlink"/>
    <w:uiPriority w:val="99"/>
    <w:rPr>
      <w:color w:val="0000FF"/>
      <w:u w:val="single"/>
    </w:rPr>
  </w:style>
  <w:style w:type="paragraph" w:styleId="25">
    <w:name w:val="Body Text 2"/>
    <w:basedOn w:val="a"/>
    <w:link w:val="2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Strong"/>
    <w:uiPriority w:val="22"/>
    <w:qFormat/>
    <w:rPr>
      <w:b/>
      <w:bCs/>
    </w:rPr>
  </w:style>
  <w:style w:type="paragraph" w:customStyle="1" w:styleId="aff3">
    <w:name w:val="Таблица текст"/>
    <w:basedOn w:val="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pconsumableblockheadertext">
    <w:name w:val="hpconsumableblockheadertext"/>
    <w:rPr>
      <w:rFonts w:ascii="Helvetica" w:hAnsi="Helvetica" w:hint="default"/>
      <w:sz w:val="15"/>
      <w:szCs w:val="15"/>
    </w:rPr>
  </w:style>
  <w:style w:type="table" w:customStyle="1" w:styleId="14">
    <w:name w:val="Сетка таблицы1"/>
    <w:basedOn w:val="a1"/>
    <w:next w:val="aff0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4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customStyle="1" w:styleId="Tabletext">
    <w:name w:val="Table_text"/>
    <w:basedOn w:val="a"/>
    <w:pPr>
      <w:widowControl w:val="0"/>
      <w:spacing w:before="60" w:after="6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f5">
    <w:name w:val="FollowedHyperlink"/>
    <w:uiPriority w:val="99"/>
    <w:unhideWhenUsed/>
    <w:rPr>
      <w:color w:val="800080"/>
      <w:u w:val="single"/>
    </w:rPr>
  </w:style>
  <w:style w:type="paragraph" w:styleId="aff6">
    <w:name w:val="Body Text"/>
    <w:basedOn w:val="a"/>
    <w:link w:val="aff7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Основной текст Знак"/>
    <w:basedOn w:val="a0"/>
    <w:link w:val="af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8">
    <w:name w:val="Таблицы (моноширинный)"/>
    <w:basedOn w:val="a"/>
    <w:next w:val="a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77F9A-9D19-4D2B-9D2E-C3AF4CC3C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Смирнягина Анна Сергеевна</cp:lastModifiedBy>
  <cp:revision>3</cp:revision>
  <dcterms:created xsi:type="dcterms:W3CDTF">2024-10-18T09:27:00Z</dcterms:created>
  <dcterms:modified xsi:type="dcterms:W3CDTF">2024-10-18T09:28:00Z</dcterms:modified>
</cp:coreProperties>
</file>