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97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Договор № _________</w:t>
      </w:r>
      <w:r>
        <w:rPr>
          <w:color w:val="000000"/>
          <w:sz w:val="26"/>
          <w:szCs w:val="26"/>
        </w:rPr>
      </w:r>
    </w:p>
    <w:p>
      <w:pPr>
        <w:pStyle w:val="997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pacing w:line="276" w:lineRule="auto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г. Томск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 </w:t>
      </w:r>
      <w:r>
        <w:rPr>
          <w:color w:val="000000"/>
          <w:sz w:val="26"/>
          <w:szCs w:val="26"/>
        </w:rPr>
        <w:tab/>
        <w:t xml:space="preserve">               </w:t>
      </w:r>
      <w:r>
        <w:rPr>
          <w:color w:val="000000"/>
          <w:sz w:val="26"/>
          <w:szCs w:val="26"/>
        </w:rPr>
        <w:t xml:space="preserve">   «</w:t>
      </w:r>
      <w:r>
        <w:rPr>
          <w:color w:val="000000"/>
          <w:sz w:val="26"/>
          <w:szCs w:val="26"/>
        </w:rPr>
        <w:t xml:space="preserve">___» __________ 20__ 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pacing w:line="276" w:lineRule="auto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rStyle w:val="1039"/>
          <w:rFonts w:eastAsia="Arial"/>
          <w:b/>
          <w:bCs/>
          <w:color w:val="000000"/>
          <w:sz w:val="26"/>
          <w:szCs w:val="26"/>
        </w:rPr>
        <w:t xml:space="preserve">Акционерное общество «Томская энергосбытовая компания» (АО «</w:t>
      </w:r>
      <w:r>
        <w:rPr>
          <w:rStyle w:val="1039"/>
          <w:rFonts w:eastAsia="Arial"/>
          <w:b/>
          <w:bCs/>
          <w:color w:val="000000"/>
          <w:sz w:val="26"/>
          <w:szCs w:val="26"/>
        </w:rPr>
        <w:t xml:space="preserve">Томскэнергосбыт</w:t>
      </w:r>
      <w:r>
        <w:rPr>
          <w:rStyle w:val="1039"/>
          <w:rFonts w:eastAsia="Arial"/>
          <w:b/>
          <w:bCs/>
          <w:color w:val="000000"/>
          <w:sz w:val="26"/>
          <w:szCs w:val="26"/>
        </w:rPr>
        <w:t xml:space="preserve">»)</w:t>
      </w:r>
      <w:r>
        <w:rPr>
          <w:color w:val="000000"/>
          <w:sz w:val="26"/>
          <w:szCs w:val="26"/>
        </w:rPr>
        <w:t xml:space="preserve">, именуемое в дальнейшем </w:t>
      </w:r>
      <w:r>
        <w:rPr>
          <w:b/>
          <w:bCs/>
          <w:color w:val="000000"/>
          <w:sz w:val="26"/>
          <w:szCs w:val="26"/>
        </w:rPr>
        <w:t xml:space="preserve">«Покупатель</w:t>
      </w:r>
      <w:r>
        <w:rPr>
          <w:color w:val="000000"/>
          <w:sz w:val="26"/>
          <w:szCs w:val="26"/>
        </w:rPr>
        <w:t xml:space="preserve">», в лице </w:t>
      </w:r>
      <w:r>
        <w:rPr>
          <w:color w:val="000000"/>
          <w:sz w:val="26"/>
          <w:szCs w:val="26"/>
        </w:rPr>
        <w:t xml:space="preserve">________________</w:t>
      </w:r>
      <w:r>
        <w:rPr>
          <w:color w:val="000000"/>
          <w:sz w:val="26"/>
          <w:szCs w:val="26"/>
        </w:rPr>
        <w:t xml:space="preserve">, действующего на основании </w:t>
      </w:r>
      <w:r>
        <w:rPr>
          <w:color w:val="000000"/>
          <w:sz w:val="26"/>
          <w:szCs w:val="26"/>
        </w:rPr>
        <w:t xml:space="preserve">_____</w:t>
      </w:r>
      <w:r>
        <w:rPr>
          <w:color w:val="000000"/>
          <w:sz w:val="26"/>
          <w:szCs w:val="26"/>
        </w:rPr>
        <w:t xml:space="preserve">, с одной стороны, и 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_______________________, именуемое в дальнейшем </w:t>
      </w:r>
      <w:r>
        <w:rPr>
          <w:b/>
          <w:bCs/>
          <w:color w:val="000000"/>
          <w:sz w:val="26"/>
          <w:szCs w:val="26"/>
        </w:rPr>
        <w:t xml:space="preserve">«Поставщик»,</w:t>
      </w:r>
      <w:r>
        <w:rPr>
          <w:color w:val="000000"/>
          <w:sz w:val="26"/>
          <w:szCs w:val="26"/>
        </w:rPr>
        <w:t xml:space="preserve"> в лице __________________, действующей на основании _____________, с другой стороны, а вместе именуемые Стороны, заключили настоящий договор (далее – Договор) о нижеследующем:</w:t>
      </w:r>
      <w:r>
        <w:rPr>
          <w:color w:val="000000"/>
          <w:sz w:val="26"/>
          <w:szCs w:val="26"/>
        </w:rPr>
      </w:r>
    </w:p>
    <w:p>
      <w:pPr>
        <w:pStyle w:val="1002"/>
        <w:ind w:left="709" w:right="20" w:firstLine="0"/>
        <w:spacing w:line="240" w:lineRule="auto"/>
        <w:shd w:val="clear" w:color="auto" w:fill="auto"/>
        <w:tabs>
          <w:tab w:val="left" w:pos="567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ПРЕДМЕТ ДОГОВОРА</w:t>
      </w:r>
      <w:r>
        <w:rPr>
          <w:sz w:val="26"/>
          <w:szCs w:val="26"/>
        </w:rPr>
      </w:r>
    </w:p>
    <w:p>
      <w:pPr>
        <w:ind w:left="709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00"/>
        <w:numPr>
          <w:ilvl w:val="1"/>
          <w:numId w:val="2"/>
        </w:numPr>
        <w:ind w:left="0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В соответствии с Договором Поставщик обязуется передать Покупателю Товар (здесь и далее, термин «Товар» включает в себя все позиции Товара, указанные в Приложение № 1 (Спецификация) к настоящему Договору), а также на условиях </w:t>
      </w:r>
      <w:r>
        <w:rPr>
          <w:spacing w:val="-1"/>
          <w:sz w:val="26"/>
          <w:szCs w:val="26"/>
        </w:rPr>
        <w:t xml:space="preserve">Сублицензионного</w:t>
      </w:r>
      <w:r>
        <w:rPr>
          <w:spacing w:val="-1"/>
          <w:sz w:val="26"/>
          <w:szCs w:val="26"/>
        </w:rPr>
        <w:t xml:space="preserve"> договора (Приложение № 2 к Договору) предоставить Сублицензиату неисключительные права на использование программного обеспечения и предоставить простые (неис</w:t>
      </w:r>
      <w:r>
        <w:rPr>
          <w:spacing w:val="-1"/>
          <w:sz w:val="26"/>
          <w:szCs w:val="26"/>
        </w:rPr>
        <w:t xml:space="preserve">ключительные) лицензии на основании которой (которых) Сублицензиат вправе пользоваться сам и предоставить право использования программным обеспечением своим структурным подразделениям, на условиях, предусмотренных настоящим Договором и Приложениями к нему.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2"/>
        </w:numPr>
        <w:ind w:left="0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Товар на дату его доставки Покупателю должен отвечать требованиям законодательства, действующего на территории Российской Федерации.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2"/>
        </w:numPr>
        <w:ind w:left="0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Поставщик гарантирует, что Товар на дату его поставки Покупателю не заложен, не находится под арестом и не обременен иным образом правами третьих лиц.  Е</w:t>
      </w:r>
      <w:r>
        <w:rPr>
          <w:spacing w:val="-1"/>
          <w:sz w:val="26"/>
          <w:szCs w:val="26"/>
        </w:rPr>
        <w:t xml:space="preserve">сли какие-либо указанные в 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 тем, что Покупатель полагался на такие гарантии.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41"/>
        </w:numPr>
        <w:ind w:left="0" w:firstLine="567"/>
        <w:jc w:val="both"/>
        <w:shd w:val="clear" w:color="auto" w:fill="ffffff"/>
        <w:tabs>
          <w:tab w:val="left" w:pos="540" w:leader="none"/>
          <w:tab w:val="clear" w:pos="792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Поставщик обязуется осуществить: поставку Товара в соответствии с Приложением № 1 (Спецификация) к настоящему Договору;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41"/>
        </w:numPr>
        <w:ind w:left="0" w:firstLine="567"/>
        <w:jc w:val="both"/>
        <w:shd w:val="clear" w:color="auto" w:fill="ffffff"/>
        <w:tabs>
          <w:tab w:val="left" w:pos="540" w:leader="none"/>
          <w:tab w:val="clear" w:pos="792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предоставить неисключительные права на использование программного обеспечения на условиях Приложения № 2 (</w:t>
      </w:r>
      <w:r>
        <w:rPr>
          <w:spacing w:val="-1"/>
          <w:sz w:val="26"/>
          <w:szCs w:val="26"/>
        </w:rPr>
        <w:t xml:space="preserve">Сублицензионный</w:t>
      </w:r>
      <w:r>
        <w:rPr>
          <w:spacing w:val="-1"/>
          <w:sz w:val="26"/>
          <w:szCs w:val="26"/>
        </w:rPr>
        <w:t xml:space="preserve"> договор) к настоящему Договору;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2"/>
        </w:numPr>
        <w:ind w:left="0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Покупатель обязуется принять и оплатить Товар на условиях настоящего Договора.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2"/>
        </w:numPr>
        <w:ind w:left="0"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Ассортимент, цена и количество поставляемого Товара определяется в Приложении № 1 (Спецификация) и Приложения № 2 (</w:t>
      </w:r>
      <w:r>
        <w:rPr>
          <w:spacing w:val="-1"/>
          <w:sz w:val="26"/>
          <w:szCs w:val="26"/>
        </w:rPr>
        <w:t xml:space="preserve">Сублицензионный</w:t>
      </w:r>
      <w:r>
        <w:rPr>
          <w:spacing w:val="-1"/>
          <w:sz w:val="26"/>
          <w:szCs w:val="26"/>
        </w:rPr>
        <w:t xml:space="preserve"> договор) к настоящему Договору.</w:t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ЦЕНА ДОГОВОРА И ПОРЯДОК ОПЛАТЫ</w:t>
      </w:r>
      <w:r>
        <w:rPr>
          <w:b/>
          <w:bCs/>
          <w:spacing w:val="-1"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</w:r>
      <w:r>
        <w:rPr>
          <w:b/>
          <w:bCs/>
          <w:spacing w:val="-1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rStyle w:val="1039"/>
          <w:rFonts w:eastAsia="Arial"/>
          <w:color w:val="000000"/>
          <w:sz w:val="26"/>
          <w:szCs w:val="26"/>
        </w:rPr>
        <w:t xml:space="preserve">Общая стоимость </w:t>
      </w:r>
      <w:r>
        <w:rPr>
          <w:color w:val="000000"/>
          <w:sz w:val="26"/>
          <w:szCs w:val="26"/>
        </w:rPr>
        <w:t xml:space="preserve">по настоящему Договору составляет ______________ (_________________) рубля ______ копеек, в том числе НДС 20% в размере ___________ (__________) рублей __ копеек.</w:t>
      </w:r>
      <w:r>
        <w:rPr>
          <w:sz w:val="26"/>
          <w:szCs w:val="26"/>
        </w:rPr>
        <w:t xml:space="preserve"> (далее – Сумма Договора)</w:t>
      </w:r>
      <w:r>
        <w:rPr>
          <w:spacing w:val="-1"/>
          <w:sz w:val="26"/>
          <w:szCs w:val="26"/>
        </w:rPr>
        <w:t xml:space="preserve">. Общая стоимость включает в себя:</w:t>
      </w:r>
      <w:r>
        <w:rPr>
          <w:sz w:val="26"/>
          <w:szCs w:val="26"/>
        </w:rPr>
      </w:r>
    </w:p>
    <w:p>
      <w:pPr>
        <w:pStyle w:val="1000"/>
        <w:numPr>
          <w:ilvl w:val="2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Лицензионное вознаграждение за предоставленное </w:t>
      </w:r>
      <w:r>
        <w:rPr>
          <w:rStyle w:val="1039"/>
          <w:rFonts w:eastAsia="Arial"/>
          <w:color w:val="000000"/>
          <w:sz w:val="26"/>
          <w:szCs w:val="26"/>
        </w:rPr>
        <w:t xml:space="preserve">право использования программы для ЭВМ </w:t>
      </w:r>
      <w:r>
        <w:rPr>
          <w:rStyle w:val="1039"/>
          <w:rFonts w:eastAsia="Arial"/>
          <w:sz w:val="26"/>
          <w:szCs w:val="26"/>
        </w:rPr>
        <w:t xml:space="preserve">составляет ______ (_____________) рублей ____ копейки, НДС не облагается на основании </w:t>
      </w:r>
      <w:r>
        <w:rPr>
          <w:rStyle w:val="1039"/>
          <w:rFonts w:eastAsia="Arial"/>
          <w:sz w:val="26"/>
          <w:szCs w:val="26"/>
        </w:rPr>
        <w:t xml:space="preserve">пп</w:t>
      </w:r>
      <w:r>
        <w:rPr>
          <w:rStyle w:val="1039"/>
          <w:rFonts w:eastAsia="Arial"/>
          <w:sz w:val="26"/>
          <w:szCs w:val="26"/>
        </w:rPr>
        <w:t xml:space="preserve">. 26 п. 2 ст. 149 НК РФ.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2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Стоимость сертификатов на техническую поддержку составляет ________ (_________) рубля ___ копеек, в том числе НДС 20% ________ (__________) рубля ______ копейки (Приложение №1).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Сумма Договора устанавливается в рублях Российской Федерации. Днем осуществления платежа считается дата списания денежных средств с корреспондентского счета банка, обслуживающего расчётный счёт Покупателя.  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Сумма Договора включает в себя стоимость Товара, затраты Поставщика по доставке Товара в адрес Покупателя (до склада Покупателя), все налог</w:t>
      </w:r>
      <w:r>
        <w:rPr>
          <w:rStyle w:val="1039"/>
          <w:rFonts w:eastAsia="Arial"/>
          <w:sz w:val="26"/>
          <w:szCs w:val="26"/>
        </w:rPr>
        <w:t xml:space="preserve">и, сборы и пошлины, расходы по погрузке, выгрузке, упаковке, таре, а также иные расходы, связанные с осуществлением поставки по настоящему Договору. Сумма Договора является фиксированной и не подлежит изменению в течение срока действия настоящего Договора.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Расчеты по настоящему Договору осуществляются в следующем порядке: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ind w:left="0" w:right="10" w:firstLine="709"/>
        <w:jc w:val="both"/>
        <w:shd w:val="clear" w:color="auto" w:fill="ffffff"/>
        <w:tabs>
          <w:tab w:val="left" w:pos="28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100 (сто процентов) Суммы Договора, указанной в п.2.1 настоящего Договора, оплачивается сроком не более 7 (семи) рабочих дней с даты приемки Товара Покупателем и подписания Акта</w:t>
      </w:r>
      <w:r>
        <w:rPr>
          <w:sz w:val="26"/>
          <w:szCs w:val="26"/>
        </w:rPr>
        <w:t xml:space="preserve"> приема-передачи, унифицированной формы документа (далее – УПД) или товарной накладной по форме ТОРГ-12 (далее – ТОРГ-12). Для оформления реализации товаров/работ/услуг применяется УПД или ТОРГ-12 и счет-фактура, которые Поставщик предоставляет Покупателю.</w:t>
      </w:r>
      <w:r>
        <w:rPr>
          <w:sz w:val="26"/>
          <w:szCs w:val="26"/>
        </w:rPr>
      </w:r>
    </w:p>
    <w:p>
      <w:pPr>
        <w:pStyle w:val="1000"/>
        <w:ind w:left="0" w:right="10" w:firstLine="709"/>
        <w:jc w:val="both"/>
        <w:shd w:val="clear" w:color="auto" w:fill="ffffff"/>
        <w:tabs>
          <w:tab w:val="left" w:pos="284" w:leader="none"/>
        </w:tabs>
        <w:rPr>
          <w:rStyle w:val="1039"/>
          <w:rFonts w:eastAsia="Arial"/>
          <w:color w:val="000000"/>
          <w:sz w:val="26"/>
          <w:szCs w:val="26"/>
        </w:rPr>
      </w:pPr>
      <w:r>
        <w:rPr>
          <w:sz w:val="26"/>
          <w:szCs w:val="26"/>
        </w:rPr>
        <w:t xml:space="preserve">Счета, не подтвержденные документами, не оплачиваются.</w:t>
      </w:r>
      <w:r>
        <w:rPr>
          <w:rStyle w:val="1039"/>
          <w:rFonts w:eastAsia="Arial"/>
          <w:color w:val="000000"/>
          <w:sz w:val="26"/>
          <w:szCs w:val="26"/>
        </w:rPr>
        <w:t xml:space="preserve"> Оплата осуществляется на основании счета и подписанного акта приема-передачи.</w:t>
      </w:r>
      <w:r>
        <w:rPr>
          <w:rStyle w:val="1039"/>
          <w:rFonts w:eastAsia="Arial"/>
          <w:color w:val="000000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</w:t>
      </w:r>
      <w:r>
        <w:rPr>
          <w:rStyle w:val="1039"/>
          <w:rFonts w:eastAsia="Arial"/>
          <w:sz w:val="26"/>
          <w:szCs w:val="26"/>
        </w:rPr>
        <w:t xml:space="preserve">лате на период с момента обнаружения нарушения условий о качестве, комплектности, количестве и/или ассортименте и до 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Поставщик не позднее 5 (пятого) числа месяца, следующего за отчетным кварталом, направляет в адрес Покупателя, оформленный со своей </w:t>
      </w:r>
      <w:r>
        <w:rPr>
          <w:rStyle w:val="1039"/>
          <w:rFonts w:eastAsia="Arial"/>
          <w:sz w:val="26"/>
          <w:szCs w:val="26"/>
        </w:rPr>
        <w:t xml:space="preserve">стороны акт сверки. Покупатель в течение 5 (пяти) рабочих дней с момента получения акта сверки, производит сверку расчетов между Сторонами, при необходимости оформляет протокол разногласий и возвращает Поставщику один экземпляр надлежаще оформленного акта.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numPr>
          <w:ilvl w:val="1"/>
          <w:numId w:val="5"/>
        </w:numPr>
        <w:ind w:left="0" w:firstLine="709"/>
        <w:jc w:val="both"/>
        <w:rPr>
          <w:rStyle w:val="1039"/>
          <w:rFonts w:eastAsia="Arial"/>
          <w:sz w:val="26"/>
          <w:szCs w:val="26"/>
        </w:rPr>
      </w:pPr>
      <w:r>
        <w:rPr>
          <w:rStyle w:val="1039"/>
          <w:rFonts w:eastAsia="Arial"/>
          <w:sz w:val="26"/>
          <w:szCs w:val="26"/>
        </w:rPr>
        <w:t xml:space="preserve">Стороны осуществляют обмен всеми документами в рамках исполнения обязательств по настоящему Договору, в том числ</w:t>
      </w:r>
      <w:r>
        <w:rPr>
          <w:rStyle w:val="1039"/>
          <w:rFonts w:eastAsia="Arial"/>
          <w:sz w:val="26"/>
          <w:szCs w:val="26"/>
        </w:rPr>
        <w:t xml:space="preserve">е при выставлении и получении счетов, счетов-фактур, УПД или ТОРГ-12 с использованием электронного документооборота, а в случае отсутствия технической возможности по средствам направления документов на почтовый адрес, указанный в п. 16 настоящего Договора.</w:t>
      </w:r>
      <w:r>
        <w:rPr>
          <w:rStyle w:val="1039"/>
          <w:rFonts w:eastAsia="Arial"/>
          <w:sz w:val="26"/>
          <w:szCs w:val="26"/>
        </w:rPr>
      </w:r>
    </w:p>
    <w:p>
      <w:pPr>
        <w:pStyle w:val="1000"/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СРОКИ И ПОРЯДОК ПОСТАВКИ ТОВАРА</w:t>
      </w:r>
      <w:r>
        <w:rPr>
          <w:b/>
          <w:bCs/>
          <w:spacing w:val="-1"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</w:r>
      <w:r>
        <w:rPr>
          <w:b/>
          <w:bCs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Срок поставки Товара в течение 3-х (трех) недель с момента подписания договора. </w:t>
      </w:r>
      <w:r>
        <w:rPr>
          <w:color w:val="000000"/>
          <w:sz w:val="26"/>
          <w:szCs w:val="26"/>
        </w:rPr>
        <w:t xml:space="preserve">Поставщик в счет цены Договора должен доставить </w:t>
      </w:r>
      <w:r>
        <w:rPr>
          <w:spacing w:val="-1"/>
          <w:sz w:val="26"/>
          <w:szCs w:val="26"/>
        </w:rPr>
        <w:t xml:space="preserve">Товар </w:t>
      </w:r>
      <w:r>
        <w:rPr>
          <w:color w:val="000000"/>
          <w:sz w:val="26"/>
          <w:szCs w:val="26"/>
        </w:rPr>
        <w:t xml:space="preserve">на склад Покупателя, расположенный по адресу: г. Томск, ул. Котовского, 19. Доставка осуществляется в рабочие дни, с 8:00 до 12:00 и с 13:00 до 17:00 собственными силами Поставщика.</w:t>
      </w:r>
      <w:r>
        <w:rPr>
          <w:b/>
          <w:bCs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Прав</w:t>
      </w:r>
      <w:r>
        <w:rPr>
          <w:spacing w:val="-1"/>
          <w:sz w:val="26"/>
          <w:szCs w:val="26"/>
        </w:rPr>
        <w:t xml:space="preserve">о собственности и риск случайного повреждения, гибели Товара переходит от Поставщика к Покупателю с момента подписания Акта сдачи-приемки.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</w:t>
      </w:r>
      <w:r>
        <w:rPr>
          <w:spacing w:val="-1"/>
          <w:sz w:val="26"/>
          <w:szCs w:val="26"/>
        </w:rPr>
        <w:t xml:space="preserve">, то Покупатель вправе вернуть такие документы Поставщику на переоформление, не принимать и не оплачивать поставленный Товар на время переоформления Поставщиком таких документов, что не освобождает Поставщика от ответственности за просрочку срока поставки </w:t>
      </w:r>
      <w:r>
        <w:rPr>
          <w:sz w:val="26"/>
          <w:szCs w:val="26"/>
        </w:rPr>
        <w:t xml:space="preserve">ПО</w:t>
      </w:r>
      <w:r>
        <w:rPr>
          <w:spacing w:val="-1"/>
          <w:sz w:val="26"/>
          <w:szCs w:val="26"/>
        </w:rPr>
        <w:t xml:space="preserve">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Поставщик, допустивший недопоставку </w:t>
      </w:r>
      <w:r>
        <w:rPr>
          <w:sz w:val="26"/>
          <w:szCs w:val="26"/>
        </w:rPr>
        <w:t xml:space="preserve">Товара</w:t>
      </w:r>
      <w:r>
        <w:rPr>
          <w:spacing w:val="-1"/>
          <w:sz w:val="26"/>
          <w:szCs w:val="26"/>
        </w:rPr>
        <w:t xml:space="preserve">, обязан восполнить недопоставленное количество в течение десяти дней с момента.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</w:pPr>
      <w:r>
        <w:rPr>
          <w:spacing w:val="-1"/>
          <w:sz w:val="26"/>
          <w:szCs w:val="26"/>
        </w:rPr>
        <w:t xml:space="preserve">Во исполнение </w:t>
      </w:r>
      <w:r>
        <w:rPr>
          <w:spacing w:val="-1"/>
          <w:sz w:val="26"/>
          <w:szCs w:val="26"/>
        </w:rPr>
        <w:t xml:space="preserve">постановления Правительства РФ от 03.12.2020 № 2013 «О минимальной доле закупок товаров российского происхождения» Поставщик (подрядчик, исполнитель) обязуется заполнить и предоставить Покупателю данные о стране происхождения товара, в том числе поставленн</w:t>
      </w:r>
      <w:r>
        <w:rPr>
          <w:spacing w:val="-1"/>
          <w:sz w:val="26"/>
          <w:szCs w:val="26"/>
        </w:rPr>
        <w:t xml:space="preserve">ого при выполнении закупаемых работ, оказании закупаемых услуг, в соответствии с приложением №6 к настоящему договору в течение 10 рабочих дней с момента поставки товара, в том числе поставляемого при выполнении закупаемых работ, оказании закупаемых услуг.</w:t>
      </w:r>
      <w:r/>
    </w:p>
    <w:p>
      <w:pPr>
        <w:ind w:left="360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ОБЯЗАННОСТИ СТОРОН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000"/>
        <w:numPr>
          <w:ilvl w:val="1"/>
          <w:numId w:val="6"/>
        </w:numPr>
        <w:ind w:left="0" w:right="11" w:firstLine="709"/>
        <w:jc w:val="both"/>
        <w:tabs>
          <w:tab w:val="left" w:pos="0" w:leader="none"/>
        </w:tabs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Поставщик </w:t>
      </w:r>
      <w:r>
        <w:rPr>
          <w:sz w:val="26"/>
          <w:szCs w:val="26"/>
        </w:rPr>
        <w:t xml:space="preserve">обязан:</w:t>
      </w:r>
      <w:r>
        <w:rPr>
          <w:sz w:val="26"/>
          <w:szCs w:val="26"/>
        </w:rPr>
      </w:r>
    </w:p>
    <w:p>
      <w:pPr>
        <w:pStyle w:val="1000"/>
        <w:numPr>
          <w:ilvl w:val="2"/>
          <w:numId w:val="6"/>
        </w:numPr>
        <w:ind w:right="11" w:hanging="11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Не позднее, чем за 24 часа уведомить Покупателя о сроке поставки Товара.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2"/>
          <w:numId w:val="6"/>
        </w:numPr>
        <w:ind w:right="11" w:hanging="11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Качественно и в полном объеме выполнить свои обязательства, предусмотренные настоящим Договором.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6"/>
        </w:numPr>
        <w:ind w:left="0" w:right="11" w:firstLine="709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Покупатель обязан: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2"/>
          <w:numId w:val="6"/>
        </w:numPr>
        <w:ind w:left="0" w:right="11" w:firstLine="709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Принять и оплатить Товар, поставленный Поставщиком по Договору.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2"/>
          <w:numId w:val="6"/>
        </w:numPr>
        <w:ind w:left="0" w:right="11" w:firstLine="709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Сообщать Поставщику полную и достоверную информацию о состоянии Товара во время гарантийного срока эксплуатации.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2"/>
          <w:numId w:val="6"/>
        </w:numPr>
        <w:ind w:left="0" w:right="11" w:firstLine="709"/>
        <w:jc w:val="both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Соблюдать правила эксплуатации Товара, рекомендованные фирмами-изготовителями и Поставщиком.</w:t>
      </w:r>
      <w:r>
        <w:rPr>
          <w:spacing w:val="-1"/>
          <w:sz w:val="26"/>
          <w:szCs w:val="26"/>
        </w:rPr>
      </w:r>
    </w:p>
    <w:p>
      <w:pPr>
        <w:ind w:firstLine="709"/>
        <w:jc w:val="both"/>
        <w:widowControl/>
        <w:tabs>
          <w:tab w:val="num" w:pos="1134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ГАРАНТИЙНЫЕ ОБЯЗАТЕЛЬСТВА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spacing w:val="-1"/>
          <w:sz w:val="26"/>
          <w:szCs w:val="26"/>
        </w:rPr>
        <w:t xml:space="preserve">Поставщик гарантирует качество поставляемого Товара в течение 12 (двенадцати)</w:t>
      </w:r>
      <w:r>
        <w:rPr>
          <w:sz w:val="26"/>
          <w:szCs w:val="26"/>
        </w:rPr>
        <w:t xml:space="preserve"> месяцев с даты подписания Договора (гарантия на сертификаты не распространяется).</w:t>
      </w:r>
      <w:r>
        <w:rPr>
          <w:b/>
          <w:bCs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Гарантия не распространяется на дефекты и поломки, вызванные ненадлежащей эксплуатацией Товара, или использованием его не по назначению.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Все расходы, связанные с ремонтом, вышедшего из строя Товара в течение гарантийного срока эксплуатации, несет Поставщик, кроме случаев, перечисленных в п.5.1.1.</w:t>
      </w:r>
      <w:r>
        <w:rPr>
          <w:spacing w:val="-1"/>
          <w:sz w:val="26"/>
          <w:szCs w:val="26"/>
        </w:rPr>
      </w:r>
    </w:p>
    <w:p>
      <w:pPr>
        <w:pStyle w:val="1000"/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ПРИЕМКА ПО КОЛИЧЕСТВУ И КАЧЕСТВУ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Приемка </w:t>
      </w:r>
      <w:r>
        <w:rPr>
          <w:spacing w:val="-1"/>
          <w:sz w:val="26"/>
          <w:szCs w:val="26"/>
        </w:rPr>
        <w:t xml:space="preserve">Товара </w:t>
      </w:r>
      <w:r>
        <w:rPr>
          <w:color w:val="000000"/>
          <w:sz w:val="26"/>
          <w:szCs w:val="26"/>
        </w:rPr>
        <w:t xml:space="preserve">осуществляется Покупателем совместно с представителями Поставщика.</w:t>
      </w:r>
      <w:r>
        <w:rPr>
          <w:color w:val="000000"/>
          <w:sz w:val="26"/>
          <w:szCs w:val="26"/>
        </w:rPr>
      </w:r>
    </w:p>
    <w:p>
      <w:pPr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Внешний осмотр тары и упаковки </w:t>
      </w:r>
      <w:r>
        <w:rPr>
          <w:spacing w:val="-1"/>
          <w:sz w:val="26"/>
          <w:szCs w:val="26"/>
        </w:rPr>
        <w:t xml:space="preserve">Товара </w:t>
      </w:r>
      <w:r>
        <w:rPr>
          <w:color w:val="000000"/>
          <w:sz w:val="26"/>
          <w:szCs w:val="26"/>
        </w:rPr>
        <w:t xml:space="preserve">с целью выявления наружных повреждений и проверки соответствия количес</w:t>
      </w:r>
      <w:r>
        <w:rPr>
          <w:color w:val="000000"/>
          <w:sz w:val="26"/>
          <w:szCs w:val="26"/>
        </w:rPr>
        <w:t xml:space="preserve">тва отгруженных и поступивших на склад Покупателя поставочных партий (частей) Оборудования и выполняется Покупателем совместно с Поставщиком без нарушения целостности тары, упаковки и консервации в течение 3 (трех) рабочих дней с даты начала такой приемки.</w:t>
      </w:r>
      <w:r>
        <w:rPr>
          <w:color w:val="000000"/>
          <w:sz w:val="26"/>
          <w:szCs w:val="26"/>
        </w:rPr>
      </w:r>
    </w:p>
    <w:p>
      <w:pPr>
        <w:numPr>
          <w:ilvl w:val="1"/>
          <w:numId w:val="1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Приемка Товара производится по УПД или ТОРГ-12 и счет-фактуры.</w:t>
      </w:r>
      <w:r>
        <w:rPr>
          <w:color w:val="000000"/>
          <w:sz w:val="26"/>
          <w:szCs w:val="26"/>
        </w:rPr>
      </w:r>
    </w:p>
    <w:p>
      <w:pPr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 в дату, следующую за датой доставки </w:t>
      </w:r>
      <w:r>
        <w:rPr>
          <w:spacing w:val="-1"/>
          <w:sz w:val="26"/>
          <w:szCs w:val="26"/>
        </w:rPr>
        <w:t xml:space="preserve">Товара </w:t>
      </w:r>
      <w:r>
        <w:rPr>
          <w:color w:val="000000"/>
          <w:sz w:val="26"/>
          <w:szCs w:val="26"/>
        </w:rPr>
        <w:t xml:space="preserve">на склад Покупателя (до 12:00 по московскому времени), обязан передать сканированные копии д</w:t>
      </w:r>
      <w:r>
        <w:rPr>
          <w:color w:val="000000"/>
          <w:sz w:val="26"/>
          <w:szCs w:val="26"/>
        </w:rPr>
        <w:t xml:space="preserve">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16 настоящего Договора. Оригиналы документов, подтверждающих факт поставки (подписанные Поставщиком </w:t>
      </w:r>
      <w:r>
        <w:rPr>
          <w:spacing w:val="-1"/>
          <w:sz w:val="26"/>
          <w:szCs w:val="26"/>
        </w:rPr>
        <w:t xml:space="preserve">акт сдачи-приемки Лицензий</w:t>
      </w:r>
      <w:r>
        <w:rPr>
          <w:color w:val="000000"/>
          <w:sz w:val="26"/>
          <w:szCs w:val="26"/>
        </w:rPr>
        <w:t xml:space="preserve"> и счета–фактуры), должны быть направлены Покупателю не позднее 5 (пяти) календарных дней с даты доставки </w:t>
      </w:r>
      <w:r>
        <w:rPr>
          <w:spacing w:val="-1"/>
          <w:sz w:val="26"/>
          <w:szCs w:val="26"/>
        </w:rPr>
        <w:t xml:space="preserve">Товара </w:t>
      </w:r>
      <w:r>
        <w:rPr>
          <w:color w:val="000000"/>
          <w:sz w:val="26"/>
          <w:szCs w:val="26"/>
        </w:rPr>
        <w:t xml:space="preserve">на склад Покупателя. </w:t>
      </w:r>
      <w:r>
        <w:rPr>
          <w:color w:val="000000"/>
          <w:sz w:val="26"/>
          <w:szCs w:val="26"/>
        </w:rPr>
      </w:r>
    </w:p>
    <w:p>
      <w:pPr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Документы, указанные в пункте 6.4. Договора, должны быть оформлены на имя Покупателя. В случае непредставления необходимых копий документов Пок</w:t>
      </w:r>
      <w:r>
        <w:rPr>
          <w:color w:val="000000"/>
          <w:sz w:val="26"/>
          <w:szCs w:val="26"/>
        </w:rPr>
        <w:t xml:space="preserve">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</w:t>
      </w:r>
      <w:r>
        <w:rPr>
          <w:color w:val="000000"/>
          <w:sz w:val="26"/>
          <w:szCs w:val="26"/>
        </w:rPr>
        <w:t xml:space="preserve">ающие документы Покупателю, что не освобождает Поставщика от ответственности, предусмотренной в пункте 7.6 настоящего   Договора.   В случае наличия ошибок и иных неточностей в указанных копиях документов Покупатель уведомляет об этом Поставщика в течение </w:t>
      </w:r>
      <w:r>
        <w:rPr>
          <w:color w:val="000000"/>
          <w:sz w:val="26"/>
          <w:szCs w:val="26"/>
        </w:rPr>
        <w:t xml:space="preserve">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</w:t>
      </w:r>
      <w:r>
        <w:rPr>
          <w:color w:val="000000"/>
          <w:sz w:val="26"/>
          <w:szCs w:val="26"/>
        </w:rPr>
        <w:t xml:space="preserve">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7.6 настоящего   Договора.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течение 10 (десяти) календарных дней с даты получения подписанных со стороны Поставщика оригиналов </w:t>
      </w:r>
      <w:r>
        <w:rPr>
          <w:spacing w:val="-1"/>
          <w:sz w:val="26"/>
          <w:szCs w:val="26"/>
        </w:rPr>
        <w:t xml:space="preserve">акта сдачи-приемки </w:t>
      </w:r>
      <w:r>
        <w:rPr>
          <w:color w:val="000000"/>
          <w:sz w:val="26"/>
          <w:szCs w:val="26"/>
        </w:rPr>
        <w:t xml:space="preserve">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</w:t>
      </w:r>
      <w:r>
        <w:rPr>
          <w:spacing w:val="-1"/>
          <w:sz w:val="26"/>
          <w:szCs w:val="26"/>
        </w:rPr>
        <w:t xml:space="preserve">Товара </w:t>
      </w:r>
      <w:r>
        <w:rPr>
          <w:color w:val="000000"/>
          <w:sz w:val="26"/>
          <w:szCs w:val="26"/>
        </w:rPr>
        <w:t xml:space="preserve">(частей </w:t>
      </w:r>
      <w:r>
        <w:rPr>
          <w:spacing w:val="-1"/>
          <w:sz w:val="26"/>
          <w:szCs w:val="26"/>
        </w:rPr>
        <w:t xml:space="preserve">Товара</w:t>
      </w:r>
      <w:r>
        <w:rPr>
          <w:color w:val="000000"/>
          <w:sz w:val="26"/>
          <w:szCs w:val="26"/>
        </w:rPr>
        <w:t xml:space="preserve">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ОТВЕТСТВЕННОСТЬ СТОРОН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sz w:val="26"/>
          <w:szCs w:val="26"/>
        </w:rPr>
        <w:t xml:space="preserve"> 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За нарушение сроков окон</w:t>
      </w:r>
      <w:r>
        <w:rPr>
          <w:spacing w:val="-1"/>
          <w:sz w:val="26"/>
          <w:szCs w:val="26"/>
        </w:rPr>
        <w:t xml:space="preserve">чательных расчетов за поставленный и принятый Товар, указанный в Приложении №1 к настоящему Договору Покупатель выплачивает по письменному требованию Поставщика неустойку в размере 1/365 ключевой ставки ЦБ РФ от просроченной суммы за каждый день просрочки.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За нарушение срока поставки Товара, указанного в пункте 3.1 Договора, Поставщик выплачивает по письменному требованию Покупателя неустойку в размере 1/365 ключевой ставки ЦБ РФ от цены Договора за каждый день просрочки.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spacing w:val="-1"/>
          <w:sz w:val="26"/>
          <w:szCs w:val="26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При несвоевременном представлении По</w:t>
      </w:r>
      <w:r>
        <w:rPr>
          <w:spacing w:val="-1"/>
          <w:sz w:val="26"/>
          <w:szCs w:val="26"/>
        </w:rPr>
        <w:t xml:space="preserve">ставщиком 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За нарушение Поставщиком сроков исполнения обязательств по предоставлению документов в соответствии пунктами 6.4.,6.5.  настоящего Договора Покупатель имеет право потребовать от Поставщи</w:t>
      </w:r>
      <w:r>
        <w:rPr>
          <w:spacing w:val="-1"/>
          <w:sz w:val="26"/>
          <w:szCs w:val="26"/>
        </w:rPr>
        <w:t xml:space="preserve">ка уплаты неустойки в размере 1/365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</w:t>
      </w:r>
      <w:r>
        <w:rPr>
          <w:spacing w:val="-1"/>
          <w:sz w:val="26"/>
          <w:szCs w:val="26"/>
        </w:rPr>
        <w:t xml:space="preserve">пунктами 6.4., 6.5.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Ст</w:t>
      </w:r>
      <w:r>
        <w:rPr>
          <w:spacing w:val="-1"/>
          <w:sz w:val="26"/>
          <w:szCs w:val="26"/>
        </w:rPr>
        <w:t xml:space="preserve">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</w:t>
      </w:r>
      <w:r>
        <w:rPr>
          <w:spacing w:val="-1"/>
          <w:sz w:val="26"/>
          <w:szCs w:val="26"/>
        </w:rPr>
        <w:t xml:space="preserve">ствие предъявления претензии третьими лицами к Покупателю, Поставщик обязуется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</w:t>
      </w:r>
      <w:r>
        <w:rPr>
          <w:spacing w:val="-1"/>
          <w:sz w:val="26"/>
          <w:szCs w:val="26"/>
        </w:rPr>
        <w:t xml:space="preserve">дя из стоимости аналогичного ПО,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 В случае </w:t>
      </w:r>
      <w:r>
        <w:rPr>
          <w:spacing w:val="-1"/>
          <w:sz w:val="26"/>
          <w:szCs w:val="26"/>
        </w:rPr>
        <w:t xml:space="preserve">непоставки</w:t>
      </w:r>
      <w:r>
        <w:rPr>
          <w:spacing w:val="-1"/>
          <w:sz w:val="26"/>
          <w:szCs w:val="26"/>
        </w:rPr>
        <w:t xml:space="preserve"> Товара в связи с любыми дей</w:t>
      </w:r>
      <w:r>
        <w:rPr>
          <w:spacing w:val="-1"/>
          <w:sz w:val="26"/>
          <w:szCs w:val="26"/>
        </w:rPr>
        <w:t xml:space="preserve">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2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1/365 ключевой ставки ЦБ РФ от цены Договора за каждый день с даты передачи такого Товара до полного устранения недостатков Товара (замены Товара). </w:t>
      </w:r>
      <w:r>
        <w:rPr>
          <w:spacing w:val="-1"/>
          <w:sz w:val="26"/>
          <w:szCs w:val="26"/>
        </w:rPr>
      </w:r>
    </w:p>
    <w:p>
      <w:pPr>
        <w:ind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СРОК ДЕЙСТВИЯ ДОГОВОРА</w:t>
      </w:r>
      <w:r>
        <w:rPr>
          <w:b/>
          <w:bCs/>
          <w:sz w:val="26"/>
          <w:szCs w:val="26"/>
        </w:rPr>
      </w:r>
    </w:p>
    <w:p>
      <w:pPr>
        <w:pStyle w:val="1000"/>
        <w:ind w:left="709" w:right="14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3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Договор вступает в силу с момента его подписания обеими Сторонами и действует по 30.06.2024, но в любом случае до исполнения Сторонами всех своих обязательств по нему. </w:t>
      </w:r>
      <w:r>
        <w:rPr>
          <w:spacing w:val="-1"/>
          <w:sz w:val="26"/>
          <w:szCs w:val="26"/>
        </w:rPr>
      </w:r>
    </w:p>
    <w:p>
      <w:pPr>
        <w:pStyle w:val="1000"/>
        <w:numPr>
          <w:ilvl w:val="1"/>
          <w:numId w:val="13"/>
        </w:numPr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Началом выполнения своих обязательств по Договору Поставщиком считается дата заключения договора, с момента его подписания обеими Сторонами.</w:t>
      </w:r>
      <w:r>
        <w:rPr>
          <w:spacing w:val="-1"/>
          <w:sz w:val="26"/>
          <w:szCs w:val="26"/>
        </w:rPr>
      </w:r>
    </w:p>
    <w:p>
      <w:pPr>
        <w:pStyle w:val="1000"/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АНТИКОРРУПЦИОННАЯ ОГОВОРКА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Поставщику известно о том, что Покупатель ведет антикоррупционную политику и развивает не допускающую коррупционных проявлений культуру.</w:t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</w:t>
      </w:r>
      <w:r>
        <w:rPr>
          <w:spacing w:val="-1"/>
          <w:sz w:val="26"/>
          <w:szCs w:val="26"/>
        </w:rPr>
        <w:t xml:space="preserve">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</w:t>
      </w:r>
      <w:r>
        <w:rPr>
          <w:sz w:val="26"/>
          <w:szCs w:val="26"/>
        </w:rPr>
        <w:t xml:space="preserve"> цели.</w:t>
      </w:r>
      <w:r>
        <w:rPr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</w:t>
      </w:r>
      <w:r>
        <w:rPr>
          <w:sz w:val="26"/>
          <w:szCs w:val="26"/>
        </w:rPr>
        <w:t xml:space="preserve">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>
        <w:rPr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</w:t>
      </w:r>
      <w:r>
        <w:rPr>
          <w:sz w:val="26"/>
          <w:szCs w:val="26"/>
        </w:rPr>
        <w:t xml:space="preserve">йти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Стороны: горячая линия Покупателя </w:t>
      </w:r>
      <w:hyperlink r:id="rId13" w:tooltip="mailto:hotline@interrao.ru" w:history="1">
        <w:r>
          <w:rPr>
            <w:sz w:val="26"/>
            <w:szCs w:val="26"/>
          </w:rPr>
          <w:t xml:space="preserve">hotline@interrao.ru</w:t>
        </w:r>
      </w:hyperlink>
      <w:r>
        <w:rPr>
          <w:sz w:val="26"/>
          <w:szCs w:val="26"/>
        </w:rPr>
        <w:t xml:space="preserve"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</w:t>
      </w:r>
      <w:r>
        <w:rPr>
          <w:sz w:val="26"/>
          <w:szCs w:val="26"/>
        </w:rPr>
        <w:t xml:space="preserve">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7 (семи) рабочих дней с даты получения вышеуказанного письменного уведомления.</w:t>
      </w:r>
      <w:r>
        <w:rPr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В письменном уведомлении Сторона обязана сослаться на факты или предоставить материалы, досто</w:t>
      </w:r>
      <w:r>
        <w:rPr>
          <w:sz w:val="26"/>
          <w:szCs w:val="26"/>
        </w:rPr>
        <w:t xml:space="preserve">верно подтверждающие или дающие основание предполагать, что произошло или может произойти нарушение каких-либо положений настоящей статьи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sz w:val="26"/>
          <w:szCs w:val="26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одной Стороной обязательств воздерживаться от запрещенных в пункте 9.1. настоящего Договора действий и/или неполучения другой Стороной</w:t>
      </w:r>
      <w:r>
        <w:rPr>
          <w:sz w:val="26"/>
          <w:szCs w:val="26"/>
        </w:rPr>
        <w:t xml:space="preserve"> в установленный 9.1.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</w:t>
      </w:r>
      <w:r>
        <w:rPr>
          <w:sz w:val="26"/>
          <w:szCs w:val="26"/>
        </w:rPr>
        <w:t xml:space="preserve">инициативе был расторгнут настоящий Договор в соответствии с положениями настоящей статьи 9,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sz w:val="26"/>
          <w:szCs w:val="26"/>
        </w:rPr>
      </w:r>
    </w:p>
    <w:p>
      <w:pPr>
        <w:ind w:firstLine="709"/>
        <w:jc w:val="both"/>
        <w:shd w:val="clear" w:color="auto" w:fill="ffffff"/>
        <w:tabs>
          <w:tab w:val="num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tabs>
          <w:tab w:val="num" w:pos="567" w:leader="none"/>
          <w:tab w:val="left" w:pos="1134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НАЛОГОВАЯ ОГОВОРКА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-142" w:firstLine="851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color w:val="000000"/>
          <w:sz w:val="26"/>
          <w:szCs w:val="26"/>
        </w:rPr>
        <w:t xml:space="preserve">Заверения об обстоятельствах </w:t>
      </w:r>
      <w:r>
        <w:rPr>
          <w:b/>
          <w:bCs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>
        <w:rPr>
          <w:color w:val="000000"/>
          <w:sz w:val="26"/>
          <w:szCs w:val="26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widowControl/>
        <w:tabs>
          <w:tab w:val="num" w:pos="0" w:leader="none"/>
          <w:tab w:val="clear" w:pos="1211" w:leader="none"/>
          <w:tab w:val="left" w:pos="1276" w:leader="none"/>
          <w:tab w:val="left" w:pos="156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color w:val="000000"/>
          <w:sz w:val="26"/>
          <w:szCs w:val="26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widowControl/>
        <w:tabs>
          <w:tab w:val="num" w:pos="0" w:leader="none"/>
          <w:tab w:val="clear" w:pos="121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Поставщик, а также привлекаемые им в целях исполнения Договора лица (субподрядчики, </w:t>
      </w:r>
      <w:r>
        <w:rPr>
          <w:color w:val="000000"/>
          <w:sz w:val="26"/>
          <w:szCs w:val="26"/>
        </w:rPr>
        <w:t xml:space="preserve">субисполнители</w:t>
      </w:r>
      <w:r>
        <w:rPr>
          <w:color w:val="000000"/>
          <w:sz w:val="26"/>
          <w:szCs w:val="26"/>
        </w:rPr>
        <w:t xml:space="preserve"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color w:val="000000"/>
          <w:sz w:val="26"/>
          <w:szCs w:val="26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widowControl/>
        <w:tabs>
          <w:tab w:val="num" w:pos="0" w:leader="none"/>
          <w:tab w:val="clear" w:pos="121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Поставщик, а также привлекаемые им в целях исполнения Договора лица (субподрядчики, </w:t>
      </w:r>
      <w:r>
        <w:rPr>
          <w:color w:val="000000"/>
          <w:sz w:val="26"/>
          <w:szCs w:val="26"/>
        </w:rPr>
        <w:t xml:space="preserve">субисполнители</w:t>
      </w:r>
      <w:r>
        <w:rPr>
          <w:color w:val="000000"/>
          <w:sz w:val="26"/>
          <w:szCs w:val="26"/>
        </w:rPr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r>
        <w:rPr>
          <w:color w:val="000000"/>
          <w:sz w:val="26"/>
          <w:szCs w:val="26"/>
        </w:rPr>
        <w:t xml:space="preserve">субисполнителя</w:t>
      </w:r>
      <w:r>
        <w:rPr>
          <w:color w:val="000000"/>
          <w:sz w:val="26"/>
          <w:szCs w:val="26"/>
        </w:rPr>
        <w:t xml:space="preserve">, субпоставщика и т.п.) Поставщик располагает необходимыми документами, свидетельствующими о соблюдении привлеченными Поставщиками требований налогового законодательства;</w:t>
      </w:r>
      <w:r>
        <w:rPr>
          <w:color w:val="000000"/>
          <w:sz w:val="26"/>
          <w:szCs w:val="26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widowControl/>
        <w:tabs>
          <w:tab w:val="num" w:pos="0" w:leader="none"/>
          <w:tab w:val="clear" w:pos="121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обязательства по Договору будут исполняться непосредственно Поставщи</w:t>
      </w:r>
      <w:r>
        <w:rPr>
          <w:color w:val="000000"/>
          <w:sz w:val="26"/>
          <w:szCs w:val="26"/>
        </w:rPr>
        <w:t xml:space="preserve">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  <w:r>
        <w:rPr>
          <w:color w:val="000000"/>
          <w:sz w:val="26"/>
          <w:szCs w:val="26"/>
        </w:rPr>
      </w:r>
    </w:p>
    <w:p>
      <w:pPr>
        <w:contextualSpacing/>
        <w:ind w:firstLine="709"/>
        <w:jc w:val="both"/>
        <w:tabs>
          <w:tab w:val="num" w:pos="0" w:leader="none"/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>
        <w:rPr>
          <w:color w:val="000000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</w:t>
      </w:r>
      <w:r>
        <w:rPr>
          <w:color w:val="000000"/>
          <w:sz w:val="26"/>
          <w:szCs w:val="26"/>
        </w:rPr>
        <w:t xml:space="preserve">субисполнителей</w:t>
      </w:r>
      <w:r>
        <w:rPr>
          <w:color w:val="000000"/>
          <w:sz w:val="26"/>
          <w:szCs w:val="26"/>
        </w:rPr>
        <w:t xml:space="preserve">, субпоставщиков и т.п.) ус</w:t>
      </w:r>
      <w:r>
        <w:rPr>
          <w:color w:val="000000"/>
          <w:sz w:val="26"/>
          <w:szCs w:val="26"/>
        </w:rPr>
        <w:t xml:space="preserve">ловиям, указанным в п. 10.1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</w:t>
      </w:r>
      <w:r>
        <w:rPr>
          <w:color w:val="000000"/>
          <w:sz w:val="26"/>
          <w:szCs w:val="26"/>
        </w:rPr>
        <w:br/>
        <w:t xml:space="preserve">п. 10.1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color w:val="000000"/>
          <w:sz w:val="26"/>
          <w:szCs w:val="26"/>
        </w:rPr>
      </w:r>
    </w:p>
    <w:p>
      <w:pPr>
        <w:numPr>
          <w:ilvl w:val="1"/>
          <w:numId w:val="1"/>
        </w:numPr>
        <w:ind w:left="-142" w:firstLine="851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Возмещение имущественных потерь</w:t>
      </w:r>
      <w:r>
        <w:rPr>
          <w:color w:val="000000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 возникшие в связи с </w:t>
      </w:r>
      <w:r>
        <w:rPr>
          <w:sz w:val="26"/>
          <w:szCs w:val="26"/>
        </w:rPr>
        <w:t xml:space="preserve">неисполнением или ненадлежащим исполнением Поставщиком своих налоговых обязанностей,</w:t>
      </w:r>
      <w:r>
        <w:rPr>
          <w:color w:val="000000"/>
          <w:sz w:val="26"/>
          <w:szCs w:val="26"/>
        </w:rPr>
        <w:t xml:space="preserve"> либо в связи с привлечением им в качестве своих Поставщиков (например, субподрядчиков, субпоставщиков) организаций, не исполняющих либо ненадлежа</w:t>
      </w:r>
      <w:r>
        <w:rPr>
          <w:color w:val="000000"/>
          <w:sz w:val="26"/>
          <w:szCs w:val="26"/>
        </w:rPr>
        <w:t xml:space="preserve">щим образом исполняющих свои налоговые обязанности или имеющих иные признаки недобросовестности, либо в связи с привлечением Поставщиками Поставщика в качестве своих Поставщиков организаций, не исполняющих либо ненадлежащим образом исполняющих свои налогов</w:t>
      </w:r>
      <w:r>
        <w:rPr>
          <w:color w:val="000000"/>
          <w:sz w:val="26"/>
          <w:szCs w:val="26"/>
        </w:rPr>
        <w:t xml:space="preserve">ые обязанности или имеющих иные признаки недобросовестности независимо от длины цепочки Поставщиков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>
        <w:rPr>
          <w:color w:val="000000"/>
          <w:sz w:val="26"/>
          <w:szCs w:val="26"/>
        </w:rPr>
      </w:r>
    </w:p>
    <w:p>
      <w:pPr>
        <w:contextualSpacing/>
        <w:ind w:firstLine="709"/>
        <w:jc w:val="both"/>
        <w:tabs>
          <w:tab w:val="left" w:pos="460" w:leader="none"/>
          <w:tab w:val="left" w:pos="993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а) в порядке применения статьи 101 Налогового кодекса Российской Федерации налоговым органом в отношении Покупателя вынесено решение</w:t>
      </w:r>
      <w:r>
        <w:rPr>
          <w:color w:val="000000"/>
          <w:sz w:val="26"/>
          <w:szCs w:val="26"/>
        </w:rPr>
        <w:t xml:space="preserve">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  <w:r>
        <w:rPr>
          <w:color w:val="000000"/>
          <w:sz w:val="26"/>
          <w:szCs w:val="26"/>
        </w:rPr>
      </w:r>
    </w:p>
    <w:p>
      <w:pPr>
        <w:pStyle w:val="1000"/>
        <w:ind w:left="0" w:firstLine="709"/>
        <w:jc w:val="both"/>
        <w:tabs>
          <w:tab w:val="left" w:pos="46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Покупателя в </w:t>
      </w:r>
      <w:r>
        <w:rPr>
          <w:color w:val="000000"/>
          <w:sz w:val="26"/>
          <w:szCs w:val="26"/>
        </w:rPr>
        <w:t xml:space="preserve">безакцептном</w:t>
      </w:r>
      <w:r>
        <w:rPr>
          <w:color w:val="000000"/>
          <w:sz w:val="26"/>
          <w:szCs w:val="26"/>
        </w:rPr>
        <w:t xml:space="preserve"> порядке или перечислены Покупателем добровольно (вследствие добровольного отказа Покупателя от применения вычета по операциям с Поставщиком) в соответствии с решением налогового органа или, по мотивированному мнению, налогового органа.</w:t>
      </w:r>
      <w:r>
        <w:rPr>
          <w:color w:val="000000"/>
          <w:sz w:val="26"/>
          <w:szCs w:val="26"/>
        </w:rPr>
      </w:r>
    </w:p>
    <w:p>
      <w:pPr>
        <w:contextualSpacing/>
        <w:ind w:firstLine="709"/>
        <w:jc w:val="both"/>
        <w:tabs>
          <w:tab w:val="left" w:pos="460" w:leader="none"/>
          <w:tab w:val="left" w:pos="993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Размер имущественных потерь Покупателя определяется как совокупность следующих сумм:</w:t>
      </w:r>
      <w:bookmarkStart w:id="0" w:name="_Ref472935425"/>
      <w:r/>
      <w:r>
        <w:rPr>
          <w:color w:val="000000"/>
          <w:sz w:val="26"/>
          <w:szCs w:val="26"/>
        </w:rPr>
      </w:r>
    </w:p>
    <w:p>
      <w:pPr>
        <w:pStyle w:val="1032"/>
        <w:numPr>
          <w:ilvl w:val="0"/>
          <w:numId w:val="0"/>
        </w:numPr>
        <w:ind w:firstLine="709"/>
        <w:spacing w:before="0"/>
        <w:rPr>
          <w:color w:val="000000"/>
          <w:szCs w:val="26"/>
        </w:rPr>
      </w:pPr>
      <w:r>
        <w:rPr>
          <w:color w:val="000000"/>
          <w:szCs w:val="26"/>
        </w:rPr>
        <w:t xml:space="preserve">- суммы налога на прибыль и/или НДС, доначисленного Покупателю в связи с эпизодами,</w:t>
      </w:r>
      <w:r>
        <w:rPr>
          <w:color w:val="000000"/>
          <w:szCs w:val="26"/>
        </w:rPr>
        <w:t xml:space="preserve">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Поставщиком («Доначисленные налоги») в соответствии с Решением налогового органа или Мотивированным мнением; плюс</w:t>
      </w:r>
      <w:bookmarkEnd w:id="0"/>
      <w:r/>
      <w:r>
        <w:rPr>
          <w:color w:val="000000"/>
          <w:szCs w:val="26"/>
        </w:rPr>
      </w:r>
    </w:p>
    <w:p>
      <w:pPr>
        <w:pStyle w:val="1032"/>
        <w:numPr>
          <w:ilvl w:val="0"/>
          <w:numId w:val="0"/>
        </w:numPr>
        <w:ind w:firstLine="709"/>
        <w:spacing w:before="0"/>
        <w:rPr>
          <w:color w:val="000000"/>
          <w:szCs w:val="26"/>
        </w:rPr>
      </w:pPr>
      <w:r/>
      <w:bookmarkStart w:id="1" w:name="_Ref472935822"/>
      <w:r>
        <w:rPr>
          <w:color w:val="000000"/>
          <w:szCs w:val="26"/>
        </w:rPr>
        <w:t xml:space="preserve">- суммы начисленных Покупателю пеней на сумму Доначисленных налогов в соответствии с Решением налогового органа («Пени») или Мотивированным мнением; плюс</w:t>
      </w:r>
      <w:bookmarkEnd w:id="1"/>
      <w:r/>
      <w:r>
        <w:rPr>
          <w:color w:val="000000"/>
          <w:szCs w:val="26"/>
        </w:rPr>
      </w:r>
    </w:p>
    <w:p>
      <w:pPr>
        <w:pStyle w:val="1032"/>
        <w:numPr>
          <w:ilvl w:val="0"/>
          <w:numId w:val="0"/>
        </w:numPr>
        <w:ind w:firstLine="709"/>
        <w:spacing w:before="0"/>
        <w:rPr>
          <w:color w:val="000000"/>
          <w:szCs w:val="26"/>
        </w:rPr>
      </w:pPr>
      <w:r>
        <w:rPr>
          <w:color w:val="000000"/>
          <w:szCs w:val="26"/>
        </w:rPr>
        <w:t xml:space="preserve">- штрафов,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color w:val="000000"/>
          <w:szCs w:val="26"/>
        </w:rPr>
      </w:r>
    </w:p>
    <w:p>
      <w:pPr>
        <w:pStyle w:val="1000"/>
        <w:ind w:left="0" w:firstLine="709"/>
        <w:jc w:val="both"/>
        <w:tabs>
          <w:tab w:val="left" w:pos="460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требования.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Покупатель вправе удержать сумму возмещения потерь из иных расчетов по любым сделкам с Поставщиком (в том числе произвести зачет встречных однородных требований).</w:t>
      </w:r>
      <w:r>
        <w:rPr>
          <w:color w:val="000000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Стороны согласовали следующую процедуру взаимодействия сторон по минимизации имущественных потерь:</w:t>
      </w:r>
      <w:r>
        <w:rPr>
          <w:color w:val="000000"/>
          <w:sz w:val="26"/>
          <w:szCs w:val="26"/>
        </w:rPr>
      </w:r>
    </w:p>
    <w:p>
      <w:pPr>
        <w:numPr>
          <w:ilvl w:val="3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получении в порядке статьи 100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14" w:tooltip="consultantplus://offline/ref=1ED926C427C39AC8B4A2C047CF32E07575853E0CBFE38D3B67FC8E7F8DA23A34E3C771A1CB28C283941D4505AB2E6195E2650623CFB118F6X7OBL" w:history="1">
        <w:r>
          <w:rPr>
            <w:color w:val="000000"/>
            <w:sz w:val="26"/>
            <w:szCs w:val="26"/>
          </w:rPr>
          <w:t xml:space="preserve">уведомления</w:t>
        </w:r>
      </w:hyperlink>
      <w:r>
        <w:rPr>
          <w:color w:val="000000"/>
          <w:sz w:val="26"/>
          <w:szCs w:val="26"/>
        </w:rPr>
        <w:t xml:space="preserve"> о наличии оснований для составления мотивированного мнения (далее – «Уведомление»), в котором проверяющими отражены выя</w:t>
      </w:r>
      <w:r>
        <w:rPr>
          <w:color w:val="000000"/>
          <w:sz w:val="26"/>
          <w:szCs w:val="26"/>
        </w:rPr>
        <w:t xml:space="preserve">вленные нарушения законодательства о налогах и сборах, вызванные действиями или бездействием Поставщика при исчислении и уплате налогов, а также привлеченных Поставщиком в целях исполнения обязательств по Договору субпоставщиков (например, субподрядчиков, </w:t>
      </w:r>
      <w:r>
        <w:rPr>
          <w:color w:val="000000"/>
          <w:sz w:val="26"/>
          <w:szCs w:val="26"/>
        </w:rPr>
        <w:t xml:space="preserve">субисполнителей</w:t>
      </w:r>
      <w:r>
        <w:rPr>
          <w:color w:val="000000"/>
          <w:sz w:val="26"/>
          <w:szCs w:val="26"/>
        </w:rPr>
        <w:t xml:space="preserve">, субпоставщиков), Покупатель в течение 10 (десяти) кал</w:t>
      </w:r>
      <w:r>
        <w:rPr>
          <w:color w:val="000000"/>
          <w:sz w:val="26"/>
          <w:szCs w:val="26"/>
        </w:rPr>
        <w:t xml:space="preserve">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  <w:r>
        <w:rPr>
          <w:color w:val="000000"/>
          <w:sz w:val="26"/>
          <w:szCs w:val="26"/>
        </w:rPr>
      </w:r>
    </w:p>
    <w:p>
      <w:pPr>
        <w:numPr>
          <w:ilvl w:val="3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несогласия </w:t>
      </w:r>
      <w:r>
        <w:rPr>
          <w:color w:val="000000"/>
          <w:sz w:val="26"/>
          <w:szCs w:val="26"/>
        </w:rPr>
        <w:t xml:space="preserve">с фактами,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</w:t>
      </w:r>
      <w:r>
        <w:rPr>
          <w:color w:val="000000"/>
          <w:sz w:val="26"/>
          <w:szCs w:val="26"/>
        </w:rPr>
        <w:t xml:space="preserve">актам (выводам проверяющих), содержащимся в ней, которые Покупатель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  <w:r>
        <w:rPr>
          <w:color w:val="000000"/>
          <w:sz w:val="26"/>
          <w:szCs w:val="26"/>
        </w:rPr>
      </w:r>
    </w:p>
    <w:p>
      <w:pPr>
        <w:numPr>
          <w:ilvl w:val="3"/>
          <w:numId w:val="1"/>
        </w:numPr>
        <w:ind w:left="0" w:firstLine="709"/>
        <w:jc w:val="both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Заказчик вправе потребовать с Поставщика возмещения имущественных потерь, связанных с наступлением обстоятельств, указанных в п. 10.2. Договора, в течение срока действия Договора и в течение трех лет после окончания срока действия Договора.</w:t>
      </w:r>
      <w:r>
        <w:rPr>
          <w:color w:val="000000"/>
          <w:sz w:val="26"/>
          <w:szCs w:val="26"/>
        </w:rPr>
      </w:r>
    </w:p>
    <w:p>
      <w:pPr>
        <w:ind w:firstLine="709"/>
        <w:jc w:val="both"/>
        <w:shd w:val="clear" w:color="auto" w:fill="ffffff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</w:r>
      <w:r>
        <w:rPr>
          <w:b/>
          <w:bCs/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ПОРЯДОК РАЗРЕШЕНИЯ СПОРОВ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spacing w:val="-1"/>
          <w:sz w:val="26"/>
          <w:szCs w:val="26"/>
        </w:rPr>
        <w:t xml:space="preserve"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15 (Пятнадцать) календарных дней со дня ее получения.</w:t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При невозможности достижения согласия в переговорах или отказе в переговорах, </w:t>
      </w:r>
      <w:r>
        <w:rPr>
          <w:spacing w:val="-1"/>
          <w:sz w:val="26"/>
          <w:szCs w:val="26"/>
        </w:rPr>
        <w:t xml:space="preserve">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  <w:r>
        <w:rPr>
          <w:spacing w:val="-1"/>
          <w:sz w:val="26"/>
          <w:szCs w:val="26"/>
        </w:rPr>
      </w:r>
    </w:p>
    <w:p>
      <w:pPr>
        <w:pStyle w:val="1000"/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ФОРС-МАЖОР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spacing w:val="-1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</w:t>
      </w:r>
      <w:r>
        <w:rPr>
          <w:spacing w:val="-1"/>
          <w:sz w:val="26"/>
          <w:szCs w:val="26"/>
        </w:rPr>
        <w:t xml:space="preserve">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  Стороны договорились, что для целей исполнения обязательс</w:t>
      </w:r>
      <w:r>
        <w:rPr>
          <w:spacing w:val="-1"/>
          <w:sz w:val="26"/>
          <w:szCs w:val="26"/>
        </w:rPr>
        <w:t xml:space="preserve">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Сторона, не исполняющая своих обязательс</w:t>
      </w:r>
      <w:r>
        <w:rPr>
          <w:spacing w:val="-1"/>
          <w:sz w:val="26"/>
          <w:szCs w:val="26"/>
        </w:rPr>
        <w:t xml:space="preserve">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Если в течение 6 (шести) месяцев соглашения, устраивающего </w:t>
      </w:r>
      <w:r>
        <w:rPr>
          <w:spacing w:val="-1"/>
          <w:sz w:val="26"/>
          <w:szCs w:val="26"/>
        </w:rPr>
        <w:t xml:space="preserve">Стороны</w:t>
      </w:r>
      <w:r>
        <w:rPr>
          <w:spacing w:val="-1"/>
          <w:sz w:val="26"/>
          <w:szCs w:val="26"/>
        </w:rPr>
        <w:t xml:space="preserve"> не будет достигнуто, каждая из Сторон вправе потребовать расторжения настоящего Договора.</w:t>
      </w:r>
      <w:r>
        <w:rPr>
          <w:spacing w:val="-1"/>
          <w:sz w:val="26"/>
          <w:szCs w:val="26"/>
        </w:rPr>
      </w:r>
    </w:p>
    <w:p>
      <w:pPr>
        <w:ind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ОСНОВАНИЯ РАСТОРЖЕНИЯ ДОГОВОРОВ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spacing w:val="-1"/>
          <w:sz w:val="26"/>
          <w:szCs w:val="26"/>
        </w:rPr>
        <w:t xml:space="preserve"> Покупатель вправе в одностороннем порядке отказаться от исполнения настоящего Договора в следующих случаях:</w:t>
      </w:r>
      <w:r>
        <w:rPr>
          <w:b/>
          <w:bCs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  <w:r>
        <w:rPr>
          <w:spacing w:val="-1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нарушения Поставщиком условий настоящего Договора, ведущее к существенному снижению качества Товара, в том числе при поставке некачественного ПО;</w:t>
      </w:r>
      <w:r>
        <w:rPr>
          <w:spacing w:val="-1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в случае </w:t>
      </w:r>
      <w:r>
        <w:rPr>
          <w:spacing w:val="-1"/>
          <w:sz w:val="26"/>
          <w:szCs w:val="26"/>
        </w:rPr>
        <w:t xml:space="preserve">непоставки</w:t>
      </w:r>
      <w:r>
        <w:rPr>
          <w:spacing w:val="-1"/>
          <w:sz w:val="26"/>
          <w:szCs w:val="26"/>
        </w:rPr>
        <w:t xml:space="preserve"> Товара,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Уведомление о расторжении настоящего Договора должно быть направлено Поставщику почтой заказным письмом с уведомлением о вручении на почтов</w:t>
      </w:r>
      <w:r>
        <w:rPr>
          <w:spacing w:val="-1"/>
          <w:sz w:val="26"/>
          <w:szCs w:val="26"/>
        </w:rPr>
        <w:t xml:space="preserve">ый адрес,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 xml:space="preserve">указанный в п.16 посредством факсимильной/электронной связи. Договор считается расторгнутым по основаниям, предусмотренным пунктом 13.1. настоящего Договора, по истечении 30 (тридцати) календарных дней с момента получения уведомления Поставщиком.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</w:r>
    </w:p>
    <w:p>
      <w:pPr>
        <w:ind w:left="360" w:firstLine="0"/>
        <w:jc w:val="both"/>
        <w:shd w:val="clear" w:color="auto" w:fill="ffffff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pacing w:val="-1"/>
          <w:sz w:val="26"/>
          <w:szCs w:val="26"/>
          <w:highlight w:val="none"/>
        </w:rPr>
      </w:r>
    </w:p>
    <w:p>
      <w:pPr>
        <w:numPr>
          <w:ilvl w:val="0"/>
          <w:numId w:val="1"/>
        </w:numPr>
        <w:ind w:left="360" w:right="0" w:firstLine="1766"/>
        <w:jc w:val="both"/>
        <w:shd w:val="clear" w:color="auto" w:fill="ffffff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  <w:t xml:space="preserve">ОБЕСПЕЧЕНИЕ 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  <w:t xml:space="preserve">ИСПОЛНЕНИЯ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  <w:t xml:space="preserve"> ДОГОВОРА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</w:r>
    </w:p>
    <w:p>
      <w:pPr>
        <w:ind w:left="2126" w:right="0" w:firstLine="0"/>
        <w:jc w:val="both"/>
        <w:shd w:val="clear" w:color="auto" w:fill="ffffff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</w:rPr>
      </w:r>
    </w:p>
    <w:p>
      <w:pPr>
        <w:numPr>
          <w:ilvl w:val="1"/>
          <w:numId w:val="1"/>
        </w:numPr>
        <w:ind w:left="0" w:right="0" w:firstLine="709"/>
        <w:jc w:val="both"/>
        <w:shd w:val="clear" w:color="auto" w:fill="ffffff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Покупателем определены следующие обязательства по Договору, которые должны быть обеспечены: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</w:r>
      <w:r>
        <w:rPr>
          <w:rFonts w:ascii="Times New Roman" w:hAnsi="Times New Roman" w:eastAsia="Times New Roman" w:cs="Times New Roman"/>
        </w:rPr>
      </w:r>
    </w:p>
    <w:p>
      <w:pPr>
        <w:pStyle w:val="1000"/>
        <w:numPr>
          <w:ilvl w:val="2"/>
          <w:numId w:val="1"/>
        </w:numPr>
        <w:contextualSpacing w:val="0"/>
        <w:ind w:left="0" w:right="-71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right="-71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другие обязательства, предусмотренные условиями Договора.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i/>
          <w:sz w:val="26"/>
          <w:szCs w:val="26"/>
          <w:highlight w:val="yellow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разделом), в размере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</w:rPr>
        <w:t xml:space="preserve">5 % от начальной (максимальной) цены Договора, а именно в сумме 27 413</w:t>
      </w:r>
      <w:r>
        <w:rPr>
          <w:rFonts w:ascii="Times New Roman" w:hAnsi="Times New Roman" w:eastAsia="Times New Roman" w:cs="Times New Roman"/>
          <w:i/>
          <w:iCs/>
          <w:sz w:val="26"/>
          <w:szCs w:val="26"/>
          <w:highlight w:val="none"/>
        </w:rPr>
        <w:t xml:space="preserve"> (двадцать семь тысяч четыреста тринадцать) рублей 92 копеек без НДС.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i/>
          <w:sz w:val="26"/>
          <w:szCs w:val="26"/>
          <w:highlight w:val="yellow"/>
        </w:rPr>
      </w:r>
    </w:p>
    <w:p>
      <w:pPr>
        <w:ind w:firstLine="709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внесения денежных средств, последние перечисляются на расчетный счет Покупателя: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ind w:left="360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р/сч №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shd w:val="clear" w:color="auto" w:fill="ffffff"/>
        </w:rPr>
        <w:t xml:space="preserve">40702810800000039366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ind w:left="360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Банке ГПБ (АО)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ind w:left="360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к/сч №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shd w:val="clear" w:color="auto" w:fill="ffffff"/>
        </w:rPr>
        <w:t xml:space="preserve">30101810200000000823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ind w:left="360"/>
        <w:jc w:val="both"/>
        <w:shd w:val="clear" w:color="auto" w:fill="ffffff"/>
        <w:tabs>
          <w:tab w:val="left" w:pos="54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БИК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shd w:val="clear" w:color="auto" w:fill="ffffff"/>
        </w:rPr>
        <w:t xml:space="preserve">044525823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35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i/>
          <w:sz w:val="26"/>
          <w:szCs w:val="26"/>
        </w:rPr>
        <w:t xml:space="preserve">Назначение платежа: Обеспечение по договору поставки </w:t>
      </w:r>
      <w:r>
        <w:rPr>
          <w:rFonts w:ascii="Times New Roman" w:hAnsi="Times New Roman" w:eastAsia="Times New Roman" w:cs="Times New Roman"/>
          <w:i/>
          <w:sz w:val="26"/>
          <w:szCs w:val="26"/>
        </w:rPr>
        <w:t xml:space="preserve">программного обеспечения «Смарт Принт» для управления процессами корпоративной печати</w:t>
      </w:r>
      <w:r>
        <w:rPr>
          <w:rFonts w:ascii="Times New Roman" w:hAnsi="Times New Roman" w:eastAsia="Times New Roman" w:cs="Times New Roman"/>
          <w:i/>
          <w:sz w:val="26"/>
          <w:szCs w:val="26"/>
        </w:rPr>
        <w:t xml:space="preserve"> для нужд АО «Томскэнергосбыт» в 2024г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случае, если обеспечение исполнения Договора пр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Способ обеспечения исполнения Договора определяется Поставщиком самостоятельно, кроме случаев предоставления поручительства аффилированного лица, предусмотренных настоящим разделом.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предоставления в качестве обеспечения исполнения Договора независимой гарантии, независимой гарантия должна отвечать следующим требованиям, предъявляемым к условиям принимаемых независимой гарантий: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Независимая гарантия должна быть выдана гарантом, предусмотренным </w:t>
      </w:r>
      <w:hyperlink r:id="rId15" w:tooltip="consultantplus://offline/ref=3C752F1EA1D941EF7D2458E1EBEA9C241C5DEEDF067D36DAA14E82D0A17A75F9B4F34EF35487F17DCA973306E712DBC2A8B397916891k3e5K" w:history="1">
        <w:r>
          <w:rPr>
            <w:rFonts w:ascii="Times New Roman" w:hAnsi="Times New Roman" w:eastAsia="Times New Roman" w:cs="Times New Roman"/>
            <w:sz w:val="26"/>
            <w:szCs w:val="26"/>
          </w:rPr>
          <w:t xml:space="preserve">частью 1 статьи 45</w:t>
        </w:r>
      </w:hyperlink>
      <w:r>
        <w:rPr>
          <w:rFonts w:ascii="Times New Roman" w:hAnsi="Times New Roman" w:eastAsia="Times New Roman" w:cs="Times New Roman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Информация о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независимой гарантии должна быть включена в реестр независимых гарантий, предусмотренный </w:t>
      </w:r>
      <w:hyperlink r:id="rId16" w:tooltip="consultantplus://offline/ref=3C752F1EA1D941EF7D2458E1EBEA9C241C5DEEDF067D36DAA14E82D0A17A75F9B4F34EF35485F57DCA973306E712DBC2A8B397916891k3e5K" w:history="1">
        <w:r>
          <w:rPr>
            <w:rFonts w:ascii="Times New Roman" w:hAnsi="Times New Roman" w:eastAsia="Times New Roman" w:cs="Times New Roman"/>
            <w:sz w:val="26"/>
            <w:szCs w:val="26"/>
          </w:rPr>
          <w:t xml:space="preserve">частью 8 статьи 45</w:t>
        </w:r>
      </w:hyperlink>
      <w:r>
        <w:rPr>
          <w:rFonts w:ascii="Times New Roman" w:hAnsi="Times New Roman" w:eastAsia="Times New Roman" w:cs="Times New Roman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 xml:space="preserve">(применяется с 01.04.2023)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</w:t>
      </w:r>
      <w:r>
        <w:rPr>
          <w:rStyle w:val="1028"/>
          <w:rFonts w:ascii="Times New Roman" w:hAnsi="Times New Roman" w:eastAsia="Times New Roman" w:cs="Times New Roman"/>
          <w:sz w:val="26"/>
          <w:szCs w:val="26"/>
        </w:rPr>
        <w:footnoteReference w:id="2"/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Форма независимой гарантии должна быть составлена с учетом требований статье 368-379 Гражданского кодекса РФ и в ней должны быть указаны: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-дата выдачи;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-принципал;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-бенефициар;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-гарант;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-денежная сумма, подлежащая выплате, или порядок ее определения;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1224" w:hanging="515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-срок действия гарантии;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ind w:left="0" w:firstLine="709"/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  <w:t xml:space="preserve">-обстоятельства, при наступлении которых должна быть выплачена сумма гарантии.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Независимая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 гарантия не может быть отозвана выдавшим ее гарантом.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(10 рабочих дней) по требованию в случае, если требование платежа является надлежащим.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должна быть указана сумма, подлежащая выплате.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должен быть указан срок ее действия (дата) [срок должен быть определен по правилам Гражданского Кодекса РФ,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но в любом случае срок действия гарантии должен превышать срок исполнения обязательств по Договору не менее, чем на один месяц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тексте независимой гарантии должно быть указано, что она выдается в обеспечение исполнения обязательств по Договору.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При продлении срока действия Договора срок де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должно быть предусмот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рено право Бенефициара (Покупателя) на истребование суммы гарантии полностью или частично в случаях, связанных с неисполнением/ненадлежащим исполнением Договора, содержащее прямое и подробное указание на то, какие именно обязательства нарушены Принципалом.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Требование платежа должно быть предъявлено Гаранту до истечения срока действия банковской гарантии. Процедура предъявления требований должна быть четко описана.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документов, направляемых гаранту для уменьшения или увеличения Гарантии.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В независимой гарантии должен быть указан не нуждающийся в толковании и исчерпывающий перечень документов, направляемых гаранту для предъявления требования платежа вместе с письменным требованием Бенефициара. </w:t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Для полу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чения суммы гарантии или ее части Бенефициар направляет в адрес гаранта письменное требование, подписанное уполномоченным лицом, с указанием на то, в чем состоит нарушение Принципалом обязательств по исполнению Договора, с приложением следующих документов: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- заверенные копии документов, подтверждающих полномочия и подпись лица, подписавшего требование.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- платежное поручение, подтверждающее перечисление Бенефициаром аванса Принципалу, с отметкой банка Бенефициара (в случае, если Договором предусмотрен аванс);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- другие документы, предусмотренные перечнем, установленным Правите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  <w:t xml:space="preserve">льством Российской Федерации в соответствии с пунктом 4 части 32 статьи 3.4. Федерального закона от 18.07.2011 № 223-ФЗ «О закупках товаров, работ, услуг отдельными видами юридических лиц»; а также законодательством РФ в применении к независимым гарантиям.</w:t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  <w:r>
        <w:rPr>
          <w:rFonts w:ascii="Times New Roman" w:hAnsi="Times New Roman" w:eastAsia="Times New Roman" w:cs="Times New Roman" w:eastAsiaTheme="minorHAnsi"/>
          <w:sz w:val="26"/>
          <w:szCs w:val="26"/>
          <w:lang w:eastAsia="en-US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 w:eastAsiaTheme="minorHAnsi"/>
          <w:sz w:val="26"/>
          <w:szCs w:val="26"/>
        </w:rPr>
        <w:t xml:space="preserve">Независимая гарантия не должна содержать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независимой 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составлении текста независимой гарантии необходимо учитывать принцип независимости гарантии от условий договора/контракта. В независимой гарантии не должно быть условий или требований, противоречащих вышеизложенному.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Независимая гарантия должна быть выдана Гарантом, согласованным и одобренным Бенефициаром до выдачи гарантии.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независимой га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рантии должно быть указано,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 [дополнительное условие, включается по требованию Покупателя].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Независимая гарантия не может быть передана третьему лицу, если в ее условиях отдельно не указано иное.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независимой гарантии должна быть указана сторона, ответственная за оплату тех или иных расходов, связанных с выдачей или исполнением требований по гарантии.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условиях независимой гарантии должно быть указано применимое право.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Покупателем.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Гарант в случае просрочки исполнения обязательств по независимой гарантии, требование об уплате денежной суммы по которой соответс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твует условиям такой независимой гарантии и предъявлено Покупателем до окончания срока ее действия, обязан за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отзыва в соответствии с </w:t>
      </w:r>
      <w:hyperlink r:id="rId17" w:tooltip="consultantplus://offline/ref=84B353EEECAB097A37A33B44A0EC1716C9089464399ACA780492DE9AD707E277074E3BA5143D7B52AFC3F4EF7C363547B063BC91D0332B36fF12I" w:history="1">
        <w:r>
          <w:rPr>
            <w:rFonts w:ascii="Times New Roman" w:hAnsi="Times New Roman" w:eastAsia="Times New Roman" w:cs="Times New Roman"/>
            <w:sz w:val="26"/>
            <w:szCs w:val="26"/>
          </w:rPr>
          <w:t xml:space="preserve">законодательством</w:t>
        </w:r>
      </w:hyperlink>
      <w:r>
        <w:rPr>
          <w:rFonts w:ascii="Times New Roman" w:hAnsi="Times New Roman" w:eastAsia="Times New Roman" w:cs="Times New Roman"/>
          <w:sz w:val="26"/>
          <w:szCs w:val="26"/>
        </w:rPr>
        <w:t xml:space="preserve"> Российской Федерации у Гаранта, предоставившего независимую гарантию в качестве обеспечения исполнения Договора, ли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цензии на осуществление банковских операций Поставщик обязуется предоставить новое обеспечение исполнения Договора не позднее 30 (тридцати) календарных дней со дня уведомления Покупателем Поставщика о необходимости предоставить соответствующее обеспечение.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</w:t>
      </w:r>
      <w:r>
        <w:rPr>
          <w:rFonts w:ascii="Times New Roman" w:hAnsi="Times New Roman" w:eastAsia="Times New Roman" w:cs="Times New Roman"/>
          <w:b/>
          <w:bCs/>
          <w:i/>
          <w:iCs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Поставщика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иностранными государствами введены ограничительные меры, при этом такое аффилированное лицо должно: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обладать кредитным рейтингом не ниже категории «А» п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представить Покупателю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pStyle w:val="1000"/>
        <w:numPr>
          <w:ilvl w:val="2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принять обязательство письменно извещать Покупателя в течение 3-х рабочих дней со дня наступления следующих событий: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- принятие решения о реорганизации или ликвидации аффилированного лица;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ab/>
        <w:t xml:space="preserve">При наступлении одного из указанных событий Покупатель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Ответственность Поручителя перед Покупателем за надлежащее исполнение Поставщиком обязательств по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обязательства или его части у Поставщика и/или Поручителя.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ходе исполнения Договора Поставщик вправе изменить способ обеспечения исполнения Договора и (или) предоставить Покупателю взамен ранее предостав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Уменьшение размера обеспечения исполнения Договора осуществляется при условии отсутствия неисполнен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ных Поставщиком требований об уплате неустоек (штрафов,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указанный в Договоре.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Срок возврата Покупателем Поставщику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денежных средств, внесенных в качестве обеспечения исполнения Договора, осуществляется в течение 30 (тридцати) рабочих дней с даты исполнения Поставщиком обязательств, предусмотренных Договором. Денежные средства возвращаются на банковский счет Поставщика.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уменьшения размера обеспечения исполнения Догово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ра, если такое обеспечение осуществляется путем внесения денежных средств на счет, указанный Покупателем, по заявлению Поставщика денежные средства в сумме, на которую уменьшен размер обеспечения исполнения Договора, возвращаются Покупателем в течение 30 (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тридцати) рабочих дней с даты исполнения Поставщиком обязательств, предусмотренных Договором, на сумму которых уменьшается размер обеспечения и направления соответствующего заявления Покупателю. Денежные средства возвращаются на банковский счет Поставщика.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1000"/>
        <w:numPr>
          <w:ilvl w:val="1"/>
          <w:numId w:val="1"/>
        </w:numPr>
        <w:contextualSpacing w:val="0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clear" w:pos="792" w:leader="none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Денежные средства, внесенные Поставщиком в качестве обеспечения исполнения Договора, Поставщику не возвращаются в случае неисполнения, ненадлежащего исполнения Поставщиком обязательств, указанных в пункте </w:t>
      </w:r>
      <w:r>
        <w:rPr>
          <w:rFonts w:ascii="Times New Roman" w:hAnsi="Times New Roman" w:eastAsia="Times New Roman" w:cs="Times New Roman"/>
          <w:bCs/>
          <w:iCs/>
          <w:sz w:val="26"/>
          <w:szCs w:val="26"/>
        </w:rPr>
        <w:t xml:space="preserve">14.1.</w:t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  <w:r>
        <w:rPr>
          <w:rStyle w:val="1036"/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  <w:highlight w:val="none"/>
        </w:rPr>
      </w:r>
      <w:r>
        <w:rPr>
          <w:spacing w:val="-1"/>
          <w:sz w:val="26"/>
          <w:szCs w:val="26"/>
          <w:highlight w:val="none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rFonts w:eastAsiaTheme="minorHAnsi"/>
          <w:b/>
          <w:bCs/>
          <w:sz w:val="26"/>
          <w:szCs w:val="26"/>
        </w:rPr>
        <w:t xml:space="preserve">ЗАКЛЮЧИТЕЛЬНЫЕ ПОЛОЖЕНИЯ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Вся информация, полученная в ходе реали</w:t>
      </w:r>
      <w:r>
        <w:rPr>
          <w:rFonts w:eastAsiaTheme="minorHAnsi"/>
          <w:spacing w:val="-1"/>
          <w:sz w:val="26"/>
          <w:szCs w:val="26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 изменении рек</w:t>
      </w:r>
      <w:r>
        <w:rPr>
          <w:rFonts w:eastAsiaTheme="minorHAnsi"/>
          <w:spacing w:val="-1"/>
          <w:sz w:val="26"/>
          <w:szCs w:val="26"/>
        </w:rPr>
        <w:t xml:space="preserve">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Поставщик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Настоящий Договор выражает все договорные условия и понимание между Сторона</w:t>
      </w:r>
      <w:r>
        <w:rPr>
          <w:rFonts w:eastAsiaTheme="minorHAnsi"/>
          <w:spacing w:val="-1"/>
          <w:sz w:val="26"/>
          <w:szCs w:val="26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Поставщик обязуется раскрывать Покупателю сведения о собственниках (номинальных владельцах) долей/акций/паев Поставщика по форме, предусмот</w:t>
      </w:r>
      <w:r>
        <w:rPr>
          <w:rFonts w:eastAsiaTheme="minorHAnsi"/>
          <w:spacing w:val="-1"/>
          <w:sz w:val="26"/>
          <w:szCs w:val="26"/>
        </w:rPr>
        <w:t xml:space="preserve">ренной Приложением № 4 к настоящему Договору, с указанием бенефициаров (в том числе конечного выгодоприобретателя/бенефициара) с предоставлением подтверждающих документов и с предоставлением согласия на обработку персональных данных по форме Приложения №5.</w:t>
      </w:r>
      <w:r>
        <w:rPr>
          <w:rFonts w:eastAsiaTheme="minorHAnsi"/>
          <w:spacing w:val="-1"/>
          <w:sz w:val="26"/>
          <w:szCs w:val="26"/>
        </w:rPr>
      </w:r>
    </w:p>
    <w:p>
      <w:pPr>
        <w:pStyle w:val="1000"/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В случае любых изменений сведений о собственниках (номинальных владельцах) долей/акций/паев Поставщика, включая бенефици</w:t>
      </w:r>
      <w:r>
        <w:rPr>
          <w:rFonts w:eastAsiaTheme="minorHAnsi"/>
          <w:spacing w:val="-1"/>
          <w:sz w:val="26"/>
          <w:szCs w:val="26"/>
        </w:rPr>
        <w:t xml:space="preserve">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  <w:r>
        <w:rPr>
          <w:spacing w:val="-1"/>
          <w:sz w:val="26"/>
          <w:szCs w:val="26"/>
        </w:rPr>
      </w:r>
    </w:p>
    <w:p>
      <w:pPr>
        <w:pStyle w:val="1000"/>
        <w:ind w:left="0" w:right="14" w:firstLine="709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  <w:r>
        <w:rPr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В части, не урегулированной настоящим Договором, отношения Сторон регламентируются действующим законодательством Российской Федерации.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Договор составлен в 2 (двух) подлинных экземплярах, по одному для каждой из Сторон. Оба экземпляра имеют равную юридическую силу.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Договор, Дополнительные соглашения к нему, а также документы по исполнению сделки, могут быть подписаны с использованием усиленной квалифицированной электронной подписи и получены сторонами в системе электронного документооборота «</w:t>
      </w:r>
      <w:r>
        <w:rPr>
          <w:rFonts w:eastAsiaTheme="minorHAnsi"/>
          <w:spacing w:val="-1"/>
          <w:sz w:val="26"/>
          <w:szCs w:val="26"/>
        </w:rPr>
        <w:t xml:space="preserve">Контур.Диадок</w:t>
      </w:r>
      <w:r>
        <w:rPr>
          <w:rFonts w:eastAsiaTheme="minorHAnsi"/>
          <w:spacing w:val="-1"/>
          <w:sz w:val="26"/>
          <w:szCs w:val="26"/>
        </w:rPr>
        <w:t xml:space="preserve">» (допускается дополнительно указать иного оператора по согласованию с контрагентом). Электронный документооборот Стороны осуществляют в соответствии с требованиями Федеральн</w:t>
      </w:r>
      <w:r>
        <w:rPr>
          <w:rFonts w:eastAsiaTheme="minorHAnsi"/>
          <w:spacing w:val="-1"/>
          <w:sz w:val="26"/>
          <w:szCs w:val="26"/>
        </w:rPr>
        <w:t xml:space="preserve">ого закона от 06.04.2011 № 63-ФЗ «Об электронной подписи», иных нормативных правовых актов, условиями соглашений и договоров, заключенных между Сторонами, а также с учетом положений регламентирующих документов оператора Электронного документооборота (ЭДО).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Датой подписания электронного документа Стороны признают дату подписания электронного документа второй Стороной, зафиксированной Оператором ЭДО в протоколе передачи документа.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Стороны в ходе исполнения договора при направлении исходящего электронного документа в интерфейсе Оператора ЭДО указывают в поле «комментарий»: 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2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электронный адрес получателя документа </w:t>
      </w:r>
      <w:hyperlink r:id="rId18" w:tooltip="mailto:vanke_sv@ensb.tomsk.ru" w:history="1">
        <w:r>
          <w:rPr>
            <w:rFonts w:eastAsiaTheme="minorHAnsi"/>
            <w:spacing w:val="-1"/>
            <w:sz w:val="26"/>
            <w:szCs w:val="26"/>
          </w:rPr>
          <w:t xml:space="preserve">vanke_sv@ensb.tomsk.ru</w:t>
        </w:r>
      </w:hyperlink>
      <w:r>
        <w:rPr>
          <w:rFonts w:eastAsiaTheme="minorHAnsi"/>
          <w:spacing w:val="-1"/>
          <w:sz w:val="26"/>
          <w:szCs w:val="26"/>
        </w:rPr>
        <w:t xml:space="preserve"> для ______ (</w:t>
      </w:r>
      <w:r>
        <w:rPr>
          <w:rFonts w:eastAsiaTheme="minorHAnsi"/>
          <w:i/>
          <w:spacing w:val="-1"/>
          <w:sz w:val="26"/>
          <w:szCs w:val="26"/>
        </w:rPr>
        <w:t xml:space="preserve">наименование контрагента</w:t>
      </w:r>
      <w:r>
        <w:rPr>
          <w:rFonts w:eastAsia="MS Mincho"/>
          <w:i/>
          <w:sz w:val="24"/>
          <w:szCs w:val="28"/>
          <w:u w:val="single"/>
        </w:rPr>
        <w:t xml:space="preserve">)</w:t>
      </w:r>
      <w:r>
        <w:rPr>
          <w:rFonts w:eastAsia="MS Mincho"/>
          <w:sz w:val="24"/>
          <w:szCs w:val="28"/>
        </w:rPr>
        <w:t xml:space="preserve">;</w:t>
      </w:r>
      <w:r>
        <w:rPr>
          <w:rStyle w:val="1028"/>
          <w:rFonts w:eastAsia="MS Mincho"/>
          <w:sz w:val="24"/>
          <w:szCs w:val="28"/>
        </w:rPr>
        <w:footnoteReference w:id="3"/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2"/>
          <w:numId w:val="1"/>
        </w:numPr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регистрационный номер и дату договора.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right="14" w:firstLine="709"/>
        <w:jc w:val="both"/>
        <w:shd w:val="clear" w:color="auto" w:fill="ffffff"/>
        <w:rPr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Стороны под номером договора понимают регистрационный номер договора, указанный со стороны АО «</w:t>
      </w:r>
      <w:r>
        <w:rPr>
          <w:rFonts w:eastAsiaTheme="minorHAnsi"/>
          <w:spacing w:val="-1"/>
          <w:sz w:val="26"/>
          <w:szCs w:val="26"/>
        </w:rPr>
        <w:t xml:space="preserve">Томскэнергосбыт</w:t>
      </w:r>
      <w:r>
        <w:rPr>
          <w:rFonts w:eastAsiaTheme="minorHAnsi"/>
          <w:spacing w:val="-1"/>
          <w:sz w:val="26"/>
          <w:szCs w:val="26"/>
        </w:rPr>
        <w:t xml:space="preserve">». Регистрационный номер договора также указывается во всех </w:t>
      </w:r>
      <w:r>
        <w:rPr>
          <w:rFonts w:eastAsiaTheme="minorHAnsi"/>
          <w:spacing w:val="-1"/>
          <w:sz w:val="26"/>
          <w:szCs w:val="26"/>
        </w:rPr>
        <w:t xml:space="preserve">документах, предусмотренных в рамках исполнения договора. (Если Поставщик имеет свои правила формирования номера договора, допускается применение формулировки: «номер договора сформированным как номер договора (________/ регистрационный номер договора АО «</w:t>
      </w:r>
      <w:r>
        <w:rPr>
          <w:rFonts w:eastAsiaTheme="minorHAnsi"/>
          <w:spacing w:val="-1"/>
          <w:sz w:val="26"/>
          <w:szCs w:val="26"/>
        </w:rPr>
        <w:t xml:space="preserve">Томскэнергосбыт</w:t>
      </w:r>
      <w:r>
        <w:rPr>
          <w:rFonts w:eastAsiaTheme="minorHAnsi"/>
          <w:spacing w:val="-1"/>
          <w:sz w:val="26"/>
          <w:szCs w:val="26"/>
        </w:rPr>
        <w:t xml:space="preserve">»)</w:t>
      </w:r>
      <w:r>
        <w:rPr>
          <w:rFonts w:eastAsia="MS Mincho"/>
          <w:sz w:val="24"/>
          <w:szCs w:val="28"/>
        </w:rPr>
        <w:t xml:space="preserve">.</w:t>
      </w:r>
      <w:r>
        <w:rPr>
          <w:rStyle w:val="1028"/>
          <w:rFonts w:eastAsia="MS Mincho"/>
          <w:sz w:val="24"/>
          <w:szCs w:val="28"/>
        </w:rPr>
        <w:footnoteReference w:id="4"/>
      </w:r>
      <w:r>
        <w:rPr>
          <w:spacing w:val="-1"/>
          <w:sz w:val="26"/>
          <w:szCs w:val="26"/>
        </w:rPr>
      </w:r>
    </w:p>
    <w:p>
      <w:pPr>
        <w:ind w:left="709" w:right="14"/>
        <w:jc w:val="both"/>
        <w:shd w:val="clear" w:color="auto" w:fill="ffffff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rFonts w:eastAsiaTheme="minorHAnsi"/>
          <w:b/>
          <w:bCs/>
          <w:sz w:val="26"/>
          <w:szCs w:val="26"/>
        </w:rPr>
        <w:t xml:space="preserve">ПРИЛОЖЕНИЯ К НАСТОЯЩЕМУ ДОГОВОРУ</w:t>
      </w:r>
      <w:bookmarkStart w:id="2" w:name="sub_1"/>
      <w:r/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b/>
          <w:bCs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Приложение № 1 – Спецификация.</w:t>
      </w:r>
      <w:r>
        <w:rPr>
          <w:b/>
          <w:bCs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Приложение № 2 –</w:t>
      </w:r>
      <w:bookmarkEnd w:id="2"/>
      <w:r>
        <w:rPr>
          <w:rFonts w:eastAsiaTheme="minorHAnsi"/>
          <w:spacing w:val="-1"/>
          <w:sz w:val="26"/>
          <w:szCs w:val="26"/>
        </w:rPr>
        <w:t xml:space="preserve"> </w:t>
      </w:r>
      <w:r>
        <w:rPr>
          <w:rFonts w:eastAsiaTheme="minorHAnsi"/>
          <w:spacing w:val="-1"/>
          <w:sz w:val="26"/>
          <w:szCs w:val="26"/>
        </w:rPr>
        <w:t xml:space="preserve">Сублицензионный</w:t>
      </w:r>
      <w:r>
        <w:rPr>
          <w:rFonts w:eastAsiaTheme="minorHAnsi"/>
          <w:spacing w:val="-1"/>
          <w:sz w:val="26"/>
          <w:szCs w:val="26"/>
        </w:rPr>
        <w:t xml:space="preserve"> договор.</w:t>
      </w:r>
      <w:r>
        <w:rPr>
          <w:rFonts w:eastAsiaTheme="minorHAnsi"/>
          <w:spacing w:val="-1"/>
          <w:sz w:val="26"/>
          <w:szCs w:val="26"/>
        </w:rPr>
      </w:r>
    </w:p>
    <w:p>
      <w:pPr>
        <w:pStyle w:val="1000"/>
        <w:numPr>
          <w:ilvl w:val="1"/>
          <w:numId w:val="1"/>
        </w:numPr>
        <w:ind w:hanging="83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Приложение № 3 – Форма акта приема-передачи прав использования ПО.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Приложение №4 – Форма по раскрытию информации в отношении всей цепочки собственников, включая бенефициаров (в том числе, конечных).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Приложение № 5 – Согласие на обработку персональных данных.</w:t>
      </w:r>
      <w:r>
        <w:rPr>
          <w:rFonts w:eastAsiaTheme="minorHAnsi"/>
          <w:spacing w:val="-1"/>
          <w:sz w:val="26"/>
          <w:szCs w:val="26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rPr>
          <w:rFonts w:eastAsiaTheme="minorHAnsi"/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</w:r>
      <w:r>
        <w:rPr>
          <w:rFonts w:eastAsiaTheme="minorHAnsi"/>
          <w:spacing w:val="-1"/>
          <w:sz w:val="26"/>
          <w:szCs w:val="26"/>
        </w:rPr>
        <w:t xml:space="preserve">Приложение № 6 – Форма о стране происхождения товара.</w:t>
      </w:r>
      <w:r>
        <w:rPr>
          <w:rFonts w:eastAsiaTheme="minorHAnsi"/>
          <w:spacing w:val="-1"/>
          <w:sz w:val="26"/>
          <w:szCs w:val="26"/>
        </w:rPr>
      </w:r>
      <w:r/>
    </w:p>
    <w:p>
      <w:pPr>
        <w:pStyle w:val="1000"/>
        <w:ind w:left="0" w:right="14" w:firstLine="426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Все приложения к настоящему Договору являются его неотъемлемой частью.</w:t>
      </w:r>
      <w:r>
        <w:rPr>
          <w:spacing w:val="-1"/>
          <w:sz w:val="26"/>
          <w:szCs w:val="26"/>
        </w:rPr>
      </w:r>
    </w:p>
    <w:p>
      <w:pPr>
        <w:pStyle w:val="1000"/>
        <w:ind w:left="0" w:right="14" w:firstLine="426"/>
        <w:jc w:val="both"/>
        <w:shd w:val="clear" w:color="auto" w:fill="ffffff"/>
        <w:tabs>
          <w:tab w:val="left" w:pos="0" w:leader="none"/>
        </w:tabs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</w:r>
      <w:r>
        <w:rPr>
          <w:spacing w:val="-1"/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center"/>
        <w:shd w:val="clear" w:color="auto" w:fill="ffffff"/>
        <w:rPr>
          <w:b/>
          <w:bCs/>
          <w:sz w:val="26"/>
          <w:szCs w:val="26"/>
        </w:rPr>
      </w:pPr>
      <w:r>
        <w:rPr>
          <w:rFonts w:eastAsiaTheme="minorHAnsi"/>
          <w:b/>
          <w:bCs/>
          <w:sz w:val="26"/>
          <w:szCs w:val="26"/>
        </w:rPr>
        <w:t xml:space="preserve"> АДРЕСА И БАНКОВСКИЕ РЕКВИЗИТЫ СТОРОН</w:t>
      </w:r>
      <w:r>
        <w:rPr>
          <w:b/>
          <w:bCs/>
          <w:sz w:val="26"/>
          <w:szCs w:val="26"/>
        </w:rPr>
      </w:r>
    </w:p>
    <w:p>
      <w:pPr>
        <w:ind w:left="709"/>
        <w:shd w:val="clear" w:color="auto" w:fill="ffffff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tbl>
      <w:tblPr>
        <w:tblW w:w="9814" w:type="dxa"/>
        <w:tblInd w:w="108" w:type="dxa"/>
        <w:tblLook w:val="0000" w:firstRow="0" w:lastRow="0" w:firstColumn="0" w:lastColumn="0" w:noHBand="0" w:noVBand="0"/>
      </w:tblPr>
      <w:tblGrid>
        <w:gridCol w:w="5103"/>
        <w:gridCol w:w="4711"/>
      </w:tblGrid>
      <w:tr>
        <w:trPr>
          <w:trHeight w:val="431"/>
        </w:trPr>
        <w:tc>
          <w:tcPr>
            <w:tcW w:w="5103" w:type="dxa"/>
            <w:textDirection w:val="lrTb"/>
            <w:noWrap w:val="false"/>
          </w:tcPr>
          <w:p>
            <w:pPr>
              <w:pStyle w:val="1004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Поставщик: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4711" w:type="dxa"/>
            <w:textDirection w:val="lrTb"/>
            <w:noWrap w:val="false"/>
          </w:tcPr>
          <w:p>
            <w:pPr>
              <w:pStyle w:val="1004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Покупатель: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rPr>
          <w:trHeight w:val="3348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1038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</w:r>
          </w:p>
        </w:tc>
        <w:tc>
          <w:tcPr>
            <w:tcW w:w="4711" w:type="dxa"/>
            <w:textDirection w:val="lrTb"/>
            <w:noWrap w:val="false"/>
          </w:tcPr>
          <w:p>
            <w:pPr>
              <w:ind w:firstLine="34"/>
              <w:jc w:val="both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Акционерное общество </w:t>
            </w:r>
            <w:r>
              <w:rPr>
                <w:b/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«Томская энергосбытовая компания» </w:t>
            </w:r>
            <w:r>
              <w:rPr>
                <w:b/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(АО «</w:t>
            </w:r>
            <w:r>
              <w:rPr>
                <w:b/>
                <w:sz w:val="26"/>
                <w:szCs w:val="26"/>
                <w:lang w:eastAsia="en-US"/>
              </w:rPr>
              <w:t xml:space="preserve">Томскэнергосбыт</w:t>
            </w:r>
            <w:r>
              <w:rPr>
                <w:b/>
                <w:sz w:val="26"/>
                <w:szCs w:val="26"/>
                <w:lang w:eastAsia="en-US"/>
              </w:rPr>
              <w:t xml:space="preserve">»)</w:t>
            </w:r>
            <w:r>
              <w:rPr>
                <w:b/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Юридический адрес: 634034, 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Томская область, г. Томск, 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ул. Котовского, 19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Почтовый адрес: Котовского ул., д. 19, г. Томск, Томская область, 634034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ИНН/ КПП 7017114680/785150001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ОКПО 76641397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ОГРН 1057000128184,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регистрационное свидетельство: 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серия 70 № 000360906 от 31/03/2005г.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Телефон: (3822) 48-47-00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Телефакс: (3822) 48-47-77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Банковские реквизиты:</w:t>
            </w:r>
            <w:r>
              <w:rPr>
                <w:b/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Р/с № 40702810900000021656 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 Банке ГПБ (АО) г. Москва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К/с № 30101810200000000823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ind w:firstLine="34"/>
              <w:jc w:val="both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БИК 044525823</w:t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rPr>
          <w:trHeight w:val="498"/>
        </w:trPr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1038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Поставщик:</w:t>
            </w:r>
            <w:r>
              <w:rPr>
                <w:sz w:val="26"/>
                <w:szCs w:val="26"/>
              </w:rPr>
            </w:r>
          </w:p>
          <w:p>
            <w:pPr>
              <w:pStyle w:val="1038"/>
              <w:jc w:val="right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038"/>
              <w:jc w:val="right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</w:r>
          </w:p>
          <w:p>
            <w:pPr>
              <w:pStyle w:val="1038"/>
              <w:jc w:val="right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/__________________/</w:t>
            </w:r>
            <w:r>
              <w:rPr>
                <w:sz w:val="26"/>
                <w:szCs w:val="26"/>
              </w:rPr>
            </w:r>
          </w:p>
        </w:tc>
        <w:tc>
          <w:tcPr>
            <w:tcW w:w="4711" w:type="dxa"/>
            <w:textDirection w:val="lrTb"/>
            <w:noWrap w:val="false"/>
          </w:tcPr>
          <w:p>
            <w:pPr>
              <w:ind w:firstLine="709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Покупатель:</w:t>
            </w:r>
            <w:r>
              <w:rPr>
                <w:b/>
                <w:color w:val="000000"/>
                <w:sz w:val="26"/>
                <w:szCs w:val="26"/>
              </w:rPr>
            </w:r>
          </w:p>
          <w:p>
            <w:pPr>
              <w:ind w:firstLine="709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</w:r>
            <w:r>
              <w:rPr>
                <w:b/>
                <w:color w:val="000000"/>
                <w:sz w:val="26"/>
                <w:szCs w:val="26"/>
              </w:rPr>
            </w:r>
          </w:p>
          <w:p>
            <w:pPr>
              <w:ind w:firstLine="7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  <w:p>
            <w:pPr>
              <w:ind w:firstLine="709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/</w:t>
            </w:r>
            <w:r>
              <w:rPr>
                <w:color w:val="000000"/>
                <w:sz w:val="26"/>
                <w:szCs w:val="26"/>
              </w:rPr>
              <w:t xml:space="preserve">_________/</w:t>
            </w: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contextualSpacing/>
        <w:spacing w:after="200" w:line="276" w:lineRule="auto"/>
        <w:widowControl/>
        <w:rPr>
          <w:sz w:val="26"/>
          <w:szCs w:val="26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10065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Приложение №1</w:t>
      </w:r>
      <w:r>
        <w:rPr>
          <w:sz w:val="26"/>
          <w:szCs w:val="26"/>
        </w:rPr>
      </w:r>
    </w:p>
    <w:p>
      <w:pPr>
        <w:contextualSpacing/>
        <w:ind w:firstLine="10065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к договору АО «</w:t>
      </w:r>
      <w:r>
        <w:rPr>
          <w:sz w:val="26"/>
          <w:szCs w:val="26"/>
        </w:rPr>
        <w:t xml:space="preserve">Томскэнергосбыт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</w:r>
    </w:p>
    <w:p>
      <w:pPr>
        <w:contextualSpacing/>
        <w:ind w:left="9356" w:firstLine="709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от _____________________________</w:t>
      </w:r>
      <w:r>
        <w:rPr>
          <w:sz w:val="26"/>
          <w:szCs w:val="26"/>
        </w:rPr>
      </w:r>
    </w:p>
    <w:p>
      <w:pPr>
        <w:contextualSpacing/>
        <w:ind w:left="9356" w:firstLine="709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№ _____________________________</w:t>
      </w:r>
      <w:r>
        <w:rPr>
          <w:sz w:val="26"/>
          <w:szCs w:val="26"/>
        </w:rPr>
      </w:r>
    </w:p>
    <w:p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СПЕЦИФИКАЦИЯ №___ от «_____» __________202_ года</w:t>
      </w:r>
      <w:r>
        <w:rPr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к Д</w:t>
      </w:r>
      <w:r>
        <w:rPr>
          <w:b/>
          <w:bCs/>
          <w:sz w:val="24"/>
          <w:szCs w:val="24"/>
        </w:rPr>
        <w:t xml:space="preserve">оговору № ___от «___» 20__года</w:t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«_________________»</w:t>
      </w:r>
      <w:r>
        <w:rPr>
          <w:sz w:val="24"/>
          <w:szCs w:val="24"/>
        </w:rPr>
        <w:t xml:space="preserve">, именуемое в дальнейшем «Поставщик», в лице _________________________, действующей на основании </w:t>
      </w:r>
      <w:r>
        <w:rPr>
          <w:sz w:val="24"/>
          <w:szCs w:val="24"/>
        </w:rPr>
        <w:t xml:space="preserve">_________,</w:t>
      </w:r>
      <w:r>
        <w:rPr>
          <w:sz w:val="24"/>
          <w:szCs w:val="24"/>
        </w:rPr>
        <w:t xml:space="preserve"> с одной стороны и</w:t>
      </w:r>
      <w:r>
        <w:rPr>
          <w:sz w:val="24"/>
          <w:szCs w:val="24"/>
        </w:rPr>
      </w:r>
    </w:p>
    <w:p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«___________________»</w:t>
      </w:r>
      <w:r>
        <w:rPr>
          <w:sz w:val="24"/>
          <w:szCs w:val="24"/>
        </w:rPr>
        <w:t xml:space="preserve">, именуемое в дальнейшем «Покупатель», в лице __________________________, действующего на основании </w:t>
      </w:r>
      <w:r>
        <w:rPr>
          <w:sz w:val="24"/>
          <w:szCs w:val="24"/>
        </w:rPr>
        <w:t xml:space="preserve">_____________</w:t>
      </w:r>
      <w:r>
        <w:rPr>
          <w:sz w:val="24"/>
          <w:szCs w:val="24"/>
        </w:rPr>
        <w:t xml:space="preserve">, с другой стороны, именуемые вместе «Стороны»</w:t>
      </w:r>
      <w:r>
        <w:rPr>
          <w:bCs/>
          <w:sz w:val="24"/>
          <w:szCs w:val="24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850"/>
        <w:gridCol w:w="2127"/>
        <w:gridCol w:w="1417"/>
        <w:gridCol w:w="1134"/>
        <w:gridCol w:w="1843"/>
        <w:gridCol w:w="1134"/>
        <w:gridCol w:w="1134"/>
        <w:gridCol w:w="1701"/>
      </w:tblGrid>
      <w:tr>
        <w:trPr>
          <w:trHeight w:val="489"/>
        </w:trPr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ind w:hanging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Ед.</w:t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изм.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Кол-во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Страна происхождения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Срок действия 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Цена, руб. без НДС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Стоимость, руб. без НДС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Ставка НДС %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Сумма НДС, руб.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Стоимость, руб. с НДС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3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429"/>
        </w:trPr>
        <w:tc>
          <w:tcPr>
            <w:gridSpan w:val="4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1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Итого по документу на сумму: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</w:tbl>
    <w:p>
      <w:pPr>
        <w:ind w:firstLine="709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02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350"/>
        <w:gridCol w:w="7351"/>
      </w:tblGrid>
      <w:tr>
        <w:trPr/>
        <w:tc>
          <w:tcPr>
            <w:tcW w:w="7350" w:type="dxa"/>
            <w:textDirection w:val="lrTb"/>
            <w:noWrap w:val="false"/>
          </w:tcPr>
          <w:p>
            <w:pPr>
              <w:ind w:left="1170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поставщика:</w:t>
            </w:r>
            <w:r>
              <w:rPr>
                <w:b/>
                <w:sz w:val="26"/>
                <w:szCs w:val="26"/>
              </w:rPr>
            </w:r>
          </w:p>
          <w:p>
            <w:pPr>
              <w:spacing w:after="200" w:line="276" w:lineRule="auto"/>
              <w:widowControl/>
              <w:tabs>
                <w:tab w:val="left" w:pos="1170" w:leader="none"/>
                <w:tab w:val="center" w:pos="3567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</w:r>
          </w:p>
          <w:p>
            <w:pPr>
              <w:spacing w:after="200" w:line="276" w:lineRule="auto"/>
              <w:widowControl/>
              <w:tabs>
                <w:tab w:val="left" w:pos="1170" w:leader="none"/>
                <w:tab w:val="center" w:pos="3567" w:leader="none"/>
              </w:tabs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   _______________ / ___________/</w:t>
            </w:r>
            <w:r>
              <w:rPr>
                <w:rFonts w:eastAsiaTheme="minorHAnsi"/>
                <w:sz w:val="26"/>
                <w:szCs w:val="26"/>
              </w:rPr>
            </w:r>
          </w:p>
        </w:tc>
        <w:tc>
          <w:tcPr>
            <w:tcW w:w="7351" w:type="dxa"/>
            <w:textDirection w:val="lrTb"/>
            <w:noWrap w:val="false"/>
          </w:tcPr>
          <w:p>
            <w:pPr>
              <w:ind w:left="516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покупателя:</w:t>
            </w:r>
            <w:r>
              <w:rPr>
                <w:b/>
                <w:sz w:val="26"/>
                <w:szCs w:val="26"/>
              </w:rPr>
            </w:r>
          </w:p>
          <w:p>
            <w:pPr>
              <w:ind w:left="516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left="516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spacing w:after="200" w:line="276" w:lineRule="auto"/>
              <w:widowControl/>
              <w:rPr>
                <w:rFonts w:eastAsiaTheme="minorHAnsi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____________________ /</w:t>
            </w:r>
            <w:r>
              <w:rPr>
                <w:b/>
                <w:sz w:val="26"/>
                <w:szCs w:val="26"/>
              </w:rPr>
              <w:t xml:space="preserve">____________</w:t>
            </w:r>
            <w:r>
              <w:rPr>
                <w:sz w:val="26"/>
                <w:szCs w:val="26"/>
              </w:rPr>
              <w:t xml:space="preserve">/</w:t>
            </w:r>
            <w:r>
              <w:rPr>
                <w:rFonts w:eastAsiaTheme="minorHAnsi"/>
                <w:sz w:val="26"/>
                <w:szCs w:val="26"/>
              </w:rPr>
            </w:r>
          </w:p>
        </w:tc>
      </w:tr>
      <w:tr>
        <w:trPr/>
        <w:tc>
          <w:tcPr>
            <w:tcW w:w="7350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</w:r>
            <w:r>
              <w:rPr>
                <w:rFonts w:eastAsiaTheme="minorHAnsi"/>
                <w:sz w:val="26"/>
                <w:szCs w:val="26"/>
              </w:rPr>
            </w:r>
          </w:p>
        </w:tc>
        <w:tc>
          <w:tcPr>
            <w:tcW w:w="7351" w:type="dxa"/>
            <w:textDirection w:val="lrTb"/>
            <w:noWrap w:val="false"/>
          </w:tcPr>
          <w:p>
            <w:pPr>
              <w:jc w:val="center"/>
              <w:spacing w:after="200" w:line="276" w:lineRule="auto"/>
              <w:widowControl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</w:r>
            <w:r>
              <w:rPr>
                <w:rFonts w:eastAsiaTheme="minorHAnsi"/>
                <w:sz w:val="26"/>
                <w:szCs w:val="26"/>
              </w:rPr>
            </w:r>
          </w:p>
        </w:tc>
      </w:tr>
    </w:tbl>
    <w:p>
      <w:pPr>
        <w:ind w:firstLine="709"/>
        <w:jc w:val="center"/>
        <w:spacing w:after="200" w:line="276" w:lineRule="auto"/>
        <w:widowControl/>
        <w:rPr>
          <w:sz w:val="26"/>
          <w:szCs w:val="26"/>
        </w:rPr>
      </w:pPr>
      <w:r>
        <w:rPr>
          <w:rFonts w:eastAsiaTheme="minorHAnsi"/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contextualSpacing/>
        <w:ind w:left="5103" w:firstLine="709"/>
        <w:spacing w:after="200" w:line="276" w:lineRule="auto"/>
        <w:widowControl/>
        <w:sectPr>
          <w:footnotePr/>
          <w:endnotePr/>
          <w:type w:val="nextPage"/>
          <w:pgSz w:w="16838" w:h="11906" w:orient="landscape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/>
      <w:r/>
    </w:p>
    <w:p>
      <w:pPr>
        <w:contextualSpacing/>
        <w:ind w:left="5812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Приложение №2 </w:t>
      </w:r>
      <w:r>
        <w:rPr>
          <w:sz w:val="26"/>
          <w:szCs w:val="26"/>
        </w:rPr>
      </w:r>
    </w:p>
    <w:p>
      <w:pPr>
        <w:contextualSpacing/>
        <w:ind w:left="5812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к договору АО «</w:t>
      </w:r>
      <w:r>
        <w:rPr>
          <w:sz w:val="26"/>
          <w:szCs w:val="26"/>
        </w:rPr>
        <w:t xml:space="preserve">Томскэнергосбыт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</w:r>
    </w:p>
    <w:p>
      <w:pPr>
        <w:contextualSpacing/>
        <w:ind w:left="4678" w:firstLine="1134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от _________________________</w:t>
      </w:r>
      <w:r>
        <w:rPr>
          <w:sz w:val="26"/>
          <w:szCs w:val="26"/>
        </w:rPr>
      </w:r>
    </w:p>
    <w:p>
      <w:pPr>
        <w:contextualSpacing/>
        <w:ind w:left="5103" w:firstLine="709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t xml:space="preserve">№ _________________________</w:t>
      </w:r>
      <w:r>
        <w:rPr>
          <w:sz w:val="26"/>
          <w:szCs w:val="26"/>
        </w:rPr>
      </w:r>
    </w:p>
    <w:p>
      <w:pPr>
        <w:contextualSpacing/>
        <w:ind w:left="5103" w:firstLine="709"/>
        <w:spacing w:after="200" w:line="276" w:lineRule="auto"/>
        <w:widowControl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spacing w:after="200" w:line="276" w:lineRule="auto"/>
        <w:widowControl/>
        <w:rPr>
          <w:bCs/>
          <w:szCs w:val="22"/>
        </w:rPr>
      </w:pPr>
      <w:r>
        <w:rPr>
          <w:rFonts w:eastAsiaTheme="minorHAnsi"/>
          <w:b/>
          <w:caps/>
          <w:sz w:val="26"/>
          <w:szCs w:val="26"/>
        </w:rPr>
        <w:t xml:space="preserve">СУБЛицензионный Договор</w:t>
      </w:r>
      <w:r>
        <w:rPr>
          <w:bCs/>
          <w:szCs w:val="22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Акционерное общество «Томская энергосбытовая компания» (АО</w:t>
      </w:r>
      <w:r>
        <w:rPr>
          <w:rFonts w:eastAsiaTheme="minorHAnsi"/>
          <w:b/>
          <w:sz w:val="26"/>
          <w:szCs w:val="26"/>
        </w:rPr>
        <w:t xml:space="preserve"> </w:t>
      </w:r>
      <w:r>
        <w:rPr>
          <w:rFonts w:eastAsiaTheme="minorHAnsi"/>
          <w:b/>
          <w:sz w:val="26"/>
          <w:szCs w:val="26"/>
        </w:rPr>
        <w:t xml:space="preserve">«</w:t>
      </w:r>
      <w:r>
        <w:rPr>
          <w:rFonts w:eastAsiaTheme="minorHAnsi"/>
          <w:b/>
          <w:sz w:val="26"/>
          <w:szCs w:val="26"/>
        </w:rPr>
        <w:t xml:space="preserve">Томскэнергосбыт</w:t>
      </w:r>
      <w:r>
        <w:rPr>
          <w:rFonts w:eastAsiaTheme="minorHAnsi"/>
          <w:b/>
          <w:sz w:val="26"/>
          <w:szCs w:val="26"/>
        </w:rPr>
        <w:t xml:space="preserve">»),</w:t>
      </w:r>
      <w:r>
        <w:rPr>
          <w:rFonts w:eastAsiaTheme="minorHAnsi"/>
          <w:sz w:val="26"/>
          <w:szCs w:val="26"/>
        </w:rPr>
        <w:t xml:space="preserve"> именуемое в дальнейшем </w:t>
      </w:r>
      <w:r>
        <w:rPr>
          <w:rFonts w:eastAsiaTheme="minorHAnsi"/>
          <w:b/>
          <w:sz w:val="26"/>
          <w:szCs w:val="26"/>
        </w:rPr>
        <w:t xml:space="preserve">«Сублицензиат»,</w:t>
      </w:r>
      <w:r>
        <w:rPr>
          <w:rFonts w:eastAsiaTheme="minorHAnsi"/>
          <w:sz w:val="26"/>
          <w:szCs w:val="26"/>
        </w:rPr>
        <w:t xml:space="preserve"> в лице </w:t>
      </w:r>
      <w:r>
        <w:rPr>
          <w:rFonts w:eastAsiaTheme="minorHAnsi"/>
          <w:sz w:val="26"/>
          <w:szCs w:val="26"/>
        </w:rPr>
        <w:t xml:space="preserve">___________________</w:t>
      </w:r>
      <w:r>
        <w:rPr>
          <w:rFonts w:eastAsiaTheme="minorHAnsi"/>
          <w:sz w:val="26"/>
          <w:szCs w:val="26"/>
        </w:rPr>
        <w:t xml:space="preserve">, действующего на основании</w:t>
      </w:r>
      <w:r>
        <w:rPr>
          <w:rFonts w:eastAsiaTheme="minorHAnsi"/>
          <w:sz w:val="26"/>
          <w:szCs w:val="26"/>
        </w:rPr>
        <w:t xml:space="preserve"> __________</w:t>
      </w:r>
      <w:r>
        <w:rPr>
          <w:rFonts w:eastAsiaTheme="minorHAnsi"/>
          <w:sz w:val="26"/>
          <w:szCs w:val="26"/>
        </w:rPr>
        <w:t xml:space="preserve">, с одной стороны и</w:t>
      </w:r>
      <w:r>
        <w:rPr>
          <w:sz w:val="26"/>
          <w:szCs w:val="26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_________________________________, </w:t>
      </w:r>
      <w:r>
        <w:rPr>
          <w:sz w:val="26"/>
          <w:szCs w:val="26"/>
        </w:rPr>
        <w:t xml:space="preserve">именуемое в дальнейшем </w:t>
      </w:r>
      <w:r>
        <w:rPr>
          <w:b/>
          <w:sz w:val="26"/>
          <w:szCs w:val="26"/>
        </w:rPr>
        <w:t xml:space="preserve">«Лицензиат»,</w:t>
      </w:r>
      <w:r>
        <w:rPr>
          <w:sz w:val="26"/>
          <w:szCs w:val="26"/>
        </w:rPr>
        <w:t xml:space="preserve"> в лице ________________________, действующего на основании _____________, с другой стороны, совместно именуемые «Стороны», заключили настоящий </w:t>
      </w:r>
      <w:r>
        <w:rPr>
          <w:sz w:val="26"/>
          <w:szCs w:val="26"/>
        </w:rPr>
        <w:t xml:space="preserve">Сублицензионный</w:t>
      </w:r>
      <w:r>
        <w:rPr>
          <w:sz w:val="26"/>
          <w:szCs w:val="26"/>
        </w:rPr>
        <w:t xml:space="preserve"> договор о нижеследующем:</w:t>
      </w:r>
      <w:r>
        <w:rPr>
          <w:sz w:val="26"/>
          <w:szCs w:val="26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0"/>
          <w:numId w:val="8"/>
        </w:numPr>
        <w:contextualSpacing/>
        <w:ind w:left="0" w:firstLine="709"/>
        <w:jc w:val="center"/>
        <w:widowControl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ТЕРМИНЫ И ОПРЕДЕЛЕНИЯ</w:t>
      </w:r>
      <w:r>
        <w:rPr>
          <w:b/>
          <w:sz w:val="26"/>
          <w:szCs w:val="26"/>
        </w:rPr>
      </w:r>
    </w:p>
    <w:p>
      <w:pPr>
        <w:pStyle w:val="1000"/>
        <w:numPr>
          <w:ilvl w:val="1"/>
          <w:numId w:val="26"/>
        </w:numPr>
        <w:ind w:left="0" w:firstLine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Лицензия</w:t>
      </w:r>
      <w:r>
        <w:rPr>
          <w:rFonts w:eastAsiaTheme="minorHAnsi"/>
          <w:sz w:val="26"/>
          <w:szCs w:val="26"/>
        </w:rPr>
        <w:t xml:space="preserve"> – предоставляемые Сублицензиату в отношении Программного обеспечения права на использование на условиях простой (неисключительной) лицензии.</w:t>
      </w:r>
      <w:r>
        <w:rPr>
          <w:sz w:val="26"/>
          <w:szCs w:val="26"/>
        </w:rPr>
      </w:r>
    </w:p>
    <w:p>
      <w:pPr>
        <w:pStyle w:val="1000"/>
        <w:numPr>
          <w:ilvl w:val="1"/>
          <w:numId w:val="26"/>
        </w:numPr>
        <w:ind w:left="0" w:firstLine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Лицензиат</w:t>
      </w:r>
      <w:r>
        <w:rPr>
          <w:rFonts w:eastAsiaTheme="minorHAnsi"/>
          <w:sz w:val="26"/>
          <w:szCs w:val="26"/>
        </w:rPr>
        <w:t xml:space="preserve"> – сторона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договора, обладающая правами на Программное обеспечение на основании Лицензионного договора с Правообладателем и передающая </w:t>
      </w:r>
      <w:r>
        <w:rPr>
          <w:rFonts w:eastAsiaTheme="minorHAnsi"/>
          <w:sz w:val="26"/>
          <w:szCs w:val="26"/>
        </w:rPr>
        <w:t xml:space="preserve">по настоящему</w:t>
      </w:r>
      <w:r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 xml:space="preserve">Сублицензионному</w:t>
      </w:r>
      <w:r>
        <w:rPr>
          <w:rFonts w:eastAsiaTheme="minorHAnsi"/>
          <w:sz w:val="26"/>
          <w:szCs w:val="26"/>
        </w:rPr>
        <w:t xml:space="preserve"> договору Сублицензиату неисключительное право использования Программного обеспечения, в пределах и способами, указанными в п.2.1.1 настоящего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договора.</w:t>
      </w:r>
      <w:r>
        <w:rPr>
          <w:sz w:val="26"/>
          <w:szCs w:val="26"/>
        </w:rPr>
      </w:r>
    </w:p>
    <w:p>
      <w:pPr>
        <w:pStyle w:val="1000"/>
        <w:numPr>
          <w:ilvl w:val="1"/>
          <w:numId w:val="26"/>
        </w:numPr>
        <w:ind w:left="0" w:firstLine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Сублицензиат</w:t>
      </w:r>
      <w:r>
        <w:rPr>
          <w:rFonts w:eastAsiaTheme="minorHAnsi"/>
          <w:sz w:val="26"/>
          <w:szCs w:val="26"/>
        </w:rPr>
        <w:t xml:space="preserve"> (Конечный пользователь) - сторона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договора, получающая право использования Программного обеспечения (Лицензии), в пределах и способами, указанными в п. 2.1. настоящего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договора.</w:t>
      </w:r>
      <w:r>
        <w:rPr>
          <w:sz w:val="26"/>
          <w:szCs w:val="26"/>
        </w:rPr>
      </w:r>
    </w:p>
    <w:p>
      <w:pPr>
        <w:pStyle w:val="1000"/>
        <w:numPr>
          <w:ilvl w:val="1"/>
          <w:numId w:val="26"/>
        </w:numPr>
        <w:ind w:left="0" w:firstLine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Программное обеспечение</w:t>
      </w:r>
      <w:r>
        <w:rPr>
          <w:rFonts w:eastAsiaTheme="minorHAnsi"/>
          <w:sz w:val="26"/>
          <w:szCs w:val="26"/>
        </w:rPr>
        <w:t xml:space="preserve"> - программы для ЭВМ, предусмотренные в Спецификации (Приложение № 1 к Договору).</w:t>
      </w:r>
      <w:r>
        <w:rPr>
          <w:sz w:val="26"/>
          <w:szCs w:val="26"/>
        </w:rPr>
      </w:r>
    </w:p>
    <w:p>
      <w:pPr>
        <w:pStyle w:val="1000"/>
        <w:numPr>
          <w:ilvl w:val="1"/>
          <w:numId w:val="26"/>
        </w:numPr>
        <w:ind w:left="0" w:firstLine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Правообладатель</w:t>
      </w:r>
      <w:r>
        <w:rPr>
          <w:rFonts w:eastAsiaTheme="minorHAnsi"/>
          <w:sz w:val="26"/>
          <w:szCs w:val="26"/>
        </w:rPr>
        <w:t xml:space="preserve"> – юридическое лицо, обладающее исключительными правами на Программное обеспечение.</w:t>
      </w:r>
      <w:bookmarkStart w:id="3" w:name="_Ref193601668"/>
      <w:r/>
      <w:r>
        <w:rPr>
          <w:sz w:val="26"/>
          <w:szCs w:val="26"/>
        </w:rPr>
      </w:r>
    </w:p>
    <w:p>
      <w:pPr>
        <w:pStyle w:val="1000"/>
        <w:ind w:left="709"/>
        <w:jc w:val="both"/>
        <w:widowControl/>
        <w:tabs>
          <w:tab w:val="left" w:pos="1276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0"/>
          <w:numId w:val="8"/>
        </w:numPr>
        <w:contextualSpacing/>
        <w:jc w:val="center"/>
        <w:widowControl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ПРЕДМЕТ СУБЛИЦЕНЗИОННОГО ДОГОВОРА</w:t>
      </w:r>
      <w:r>
        <w:rPr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/>
      <w:bookmarkStart w:id="4" w:name="_Ref193800008"/>
      <w:r>
        <w:rPr>
          <w:rFonts w:eastAsiaTheme="minorHAnsi"/>
          <w:sz w:val="26"/>
          <w:szCs w:val="26"/>
        </w:rPr>
        <w:t xml:space="preserve">Лицензиат обязуется предоставить Сублицензиату неисключительные права на использование программного обеспечения на условиях настоящего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 и выдать простые (неисключительные) лицензии, на основании которой (которых) Сублицензиат вправе пользоваться сам и предоставить право использования программным обеспечением своим структурным подразделениям.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 обязуется уплатить Лицензиату вознаграждение за предоставленное право на использование программного обеспечения в размере </w:t>
      </w:r>
      <w:r>
        <w:rPr>
          <w:rStyle w:val="1039"/>
          <w:rFonts w:eastAsia="Arial"/>
          <w:sz w:val="26"/>
          <w:szCs w:val="26"/>
        </w:rPr>
        <w:t xml:space="preserve">________ (_________) рублей ___ копейки, НДС не облагается на основании </w:t>
      </w:r>
      <w:r>
        <w:rPr>
          <w:rStyle w:val="1039"/>
          <w:rFonts w:eastAsia="Arial"/>
          <w:sz w:val="26"/>
          <w:szCs w:val="26"/>
        </w:rPr>
        <w:t xml:space="preserve">пп</w:t>
      </w:r>
      <w:r>
        <w:rPr>
          <w:rStyle w:val="1039"/>
          <w:rFonts w:eastAsia="Arial"/>
          <w:sz w:val="26"/>
          <w:szCs w:val="26"/>
        </w:rPr>
        <w:t xml:space="preserve">. 26 п. 2 ст. 149 НК РФ., </w:t>
      </w:r>
      <w:r>
        <w:rPr>
          <w:rFonts w:eastAsiaTheme="minorHAnsi"/>
          <w:sz w:val="26"/>
          <w:szCs w:val="26"/>
        </w:rPr>
        <w:t xml:space="preserve">и на условиях, установленных настоящим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Программное обеспечение права, на которое предоставляются по </w:t>
      </w:r>
      <w:r>
        <w:rPr>
          <w:rFonts w:eastAsiaTheme="minorHAnsi"/>
          <w:sz w:val="26"/>
          <w:szCs w:val="26"/>
        </w:rPr>
        <w:t xml:space="preserve">Сублицензионному</w:t>
      </w:r>
      <w:r>
        <w:rPr>
          <w:rFonts w:eastAsiaTheme="minorHAnsi"/>
          <w:sz w:val="26"/>
          <w:szCs w:val="26"/>
        </w:rPr>
        <w:t xml:space="preserve"> Договору определено в Приложении № 1 к Договору поставки №</w:t>
      </w:r>
      <w:r>
        <w:rPr>
          <w:rFonts w:eastAsiaTheme="minorHAnsi"/>
          <w:sz w:val="26"/>
          <w:szCs w:val="26"/>
        </w:rPr>
        <w:t xml:space="preserve"> </w:t>
      </w:r>
      <w:r>
        <w:rPr>
          <w:rFonts w:eastAsiaTheme="minorHAnsi"/>
          <w:sz w:val="26"/>
          <w:szCs w:val="26"/>
        </w:rPr>
        <w:t xml:space="preserve">_______________.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Объем прав Сублицензиата на использование программного обеспечения установлен настоящим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b/>
          <w:sz w:val="26"/>
          <w:szCs w:val="26"/>
        </w:rPr>
      </w:pPr>
      <w:r>
        <w:rPr>
          <w:rFonts w:eastAsiaTheme="minorHAnsi"/>
          <w:spacing w:val="-1"/>
          <w:sz w:val="26"/>
          <w:szCs w:val="26"/>
        </w:rPr>
        <w:t xml:space="preserve">Лицензия включает в себя:</w:t>
      </w:r>
      <w:bookmarkEnd w:id="4"/>
      <w:r>
        <w:rPr>
          <w:rFonts w:eastAsiaTheme="minorHAnsi"/>
          <w:spacing w:val="-1"/>
          <w:sz w:val="26"/>
          <w:szCs w:val="26"/>
        </w:rPr>
        <w:t xml:space="preserve"> право на воспроизведение Программного обеспечения, ограниченное правом записи (инсталляции) и запуска Программного обеспечения в соответствии с лицензионным соглашением для конечного пользователя.</w:t>
      </w:r>
      <w:r>
        <w:rPr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20"/>
        <w:jc w:val="both"/>
        <w:widowControl/>
        <w:rPr>
          <w:b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Территорией, на которой допускается использование Программного обеспечения, является территория Российской Федерации и стран СНГ.</w:t>
      </w:r>
      <w:bookmarkEnd w:id="3"/>
      <w:r/>
      <w:r>
        <w:rPr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20"/>
        <w:jc w:val="both"/>
        <w:widowControl/>
        <w:rPr>
          <w:b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Право пользования ПО предоставляются на ве</w:t>
      </w:r>
      <w:r>
        <w:rPr>
          <w:rFonts w:eastAsiaTheme="minorHAnsi"/>
          <w:bCs/>
          <w:color w:val="000000"/>
          <w:sz w:val="26"/>
          <w:szCs w:val="26"/>
        </w:rPr>
        <w:t xml:space="preserve">сь срок действия исключительного права</w:t>
      </w:r>
      <w:r>
        <w:rPr>
          <w:rFonts w:eastAsiaTheme="minorHAnsi"/>
          <w:sz w:val="26"/>
          <w:szCs w:val="26"/>
        </w:rPr>
        <w:t xml:space="preserve">. </w:t>
      </w:r>
      <w:r>
        <w:rPr>
          <w:b/>
          <w:sz w:val="26"/>
          <w:szCs w:val="26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0"/>
          <w:numId w:val="8"/>
        </w:numPr>
        <w:contextualSpacing/>
        <w:ind w:left="0" w:firstLine="709"/>
        <w:jc w:val="center"/>
        <w:widowControl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ПРАВА И ОБЯЗАННОСТИ СТОРОН</w:t>
      </w:r>
      <w:r>
        <w:rPr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tabs>
          <w:tab w:val="left" w:pos="567" w:leader="none"/>
        </w:tabs>
        <w:rPr>
          <w:b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Лицензии передаются Сублицензиату в порядке, сроки и на условиях, предусмотренных Договором поставки № _______________ и настоящим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договором.</w:t>
      </w:r>
      <w:r>
        <w:rPr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 обязан выплатить Лицензиату вознаграждение в срок и на условиях, установленных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 и Приложениями к Договору поставки № _______________.</w:t>
      </w:r>
      <w:bookmarkStart w:id="5" w:name="_Ref193706293"/>
      <w:r/>
      <w:bookmarkStart w:id="6" w:name="_Ref193801153"/>
      <w:r/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 вправе использовать Программное обеспечение только на территории РФ и исключительно в период (срок), на который предоставлены Лицензии</w:t>
      </w:r>
      <w:bookmarkEnd w:id="5"/>
      <w:r>
        <w:rPr>
          <w:rFonts w:eastAsiaTheme="minorHAnsi"/>
          <w:sz w:val="26"/>
          <w:szCs w:val="26"/>
        </w:rPr>
        <w:t xml:space="preserve">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</w:pPr>
      <w:r>
        <w:rPr>
          <w:rFonts w:eastAsiaTheme="minorHAnsi"/>
          <w:sz w:val="26"/>
          <w:szCs w:val="26"/>
        </w:rPr>
        <w:t xml:space="preserve">Сублицензиат обязуется не осуществлять самостоятельно, разрешать или иным способом способствовать третьим лицам осуществлять следующие действия:  </w:t>
      </w:r>
      <w:bookmarkStart w:id="7" w:name="_Ref193706296"/>
      <w:r/>
      <w:r/>
    </w:p>
    <w:p>
      <w:pPr>
        <w:contextualSpacing/>
        <w:ind w:firstLine="709"/>
        <w:jc w:val="both"/>
        <w:widowControl/>
        <w:rPr>
          <w:rFonts w:eastAsiaTheme="minorHAnsi"/>
          <w:sz w:val="26"/>
          <w:szCs w:val="26"/>
        </w:rPr>
      </w:pPr>
      <w:r>
        <w:t xml:space="preserve">(а) </w:t>
      </w:r>
      <w:r>
        <w:rPr>
          <w:sz w:val="26"/>
          <w:szCs w:val="26"/>
        </w:rPr>
        <w:t xml:space="preserve">копировать и/</w:t>
      </w:r>
      <w:r>
        <w:rPr>
          <w:rFonts w:eastAsiaTheme="minorHAnsi"/>
          <w:sz w:val="26"/>
          <w:szCs w:val="26"/>
        </w:rPr>
        <w:t xml:space="preserve">или переносить на какие-либо носители ПО или соответствующую документацию к нему (полностью или частично), за исключением целей инсталляции и запуска соответствующего программного обеспечения;</w:t>
      </w:r>
      <w:r>
        <w:rPr>
          <w:rFonts w:eastAsiaTheme="minorHAnsi"/>
          <w:sz w:val="26"/>
          <w:szCs w:val="26"/>
        </w:rPr>
      </w:r>
    </w:p>
    <w:p>
      <w:pPr>
        <w:contextualSpacing/>
        <w:ind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(б) изменять, скрывать, удалять или вносить какие-либо изменения в товарные знаки, торговые наименования, маркировку или уведомления, нанесенные на ПО или являющиеся частью ПО или соответствующей документации к нему;</w:t>
      </w:r>
      <w:r>
        <w:rPr>
          <w:rFonts w:eastAsiaTheme="minorHAnsi"/>
          <w:sz w:val="26"/>
          <w:szCs w:val="26"/>
        </w:rPr>
      </w:r>
    </w:p>
    <w:p>
      <w:pPr>
        <w:contextualSpacing/>
        <w:ind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(в) модифицировать, в том числе вносить изменения в объективный код ПО, дополнять, </w:t>
      </w:r>
      <w:r>
        <w:rPr>
          <w:rFonts w:eastAsiaTheme="minorHAnsi"/>
          <w:sz w:val="26"/>
          <w:szCs w:val="26"/>
        </w:rPr>
        <w:t xml:space="preserve">декомпилировать</w:t>
      </w:r>
      <w:r>
        <w:rPr>
          <w:rFonts w:eastAsiaTheme="minorHAnsi"/>
          <w:sz w:val="26"/>
          <w:szCs w:val="26"/>
        </w:rPr>
        <w:t xml:space="preserve">, подвергать инженерному анализу, разбирать, переводить, адаптировать, реорганизовывать, исправлять ошибки или производить какие-либо иные изменения в ПО или соответствующей документации к нему, восстанавливать исходный код Программного обеспечения; </w:t>
      </w:r>
      <w:r>
        <w:rPr>
          <w:rFonts w:eastAsiaTheme="minorHAnsi"/>
          <w:sz w:val="26"/>
          <w:szCs w:val="26"/>
        </w:rPr>
      </w:r>
    </w:p>
    <w:p>
      <w:pPr>
        <w:contextualSpacing/>
        <w:ind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(г) использовать ПО или соответствующую документацию</w:t>
      </w:r>
      <w:r>
        <w:rPr>
          <w:rFonts w:eastAsiaTheme="minorHAnsi"/>
          <w:sz w:val="26"/>
          <w:szCs w:val="26"/>
        </w:rPr>
        <w:t xml:space="preserve"> к нему в каких-либо иных целях, кроме тех, что разрешены настоящим Договором, в том числе копировать, предоставлять, раскрывать или иным способом делать ПО доступным третьим лицам иначе, чем в рамках правомочий по полученной лицензии на использование ПО. </w:t>
      </w:r>
      <w:r>
        <w:rPr>
          <w:rFonts w:eastAsiaTheme="minorHAnsi"/>
          <w:sz w:val="26"/>
          <w:szCs w:val="26"/>
        </w:rPr>
      </w:r>
    </w:p>
    <w:p>
      <w:pPr>
        <w:contextualSpacing/>
        <w:ind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(д) иные ограничения могут быть установлены Лицензионными условиями. 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 не имеет права сдавать в аренду, продавать, передавать третьим лицам, тиражировать Программное обеспечение. </w:t>
      </w:r>
      <w:bookmarkEnd w:id="6"/>
      <w:r/>
      <w:bookmarkEnd w:id="7"/>
      <w:r/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Гарантию на Программное обеспечение Сублицензиат получает от Правообладателя. 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Лицензиат имеет право контролировать выполнение условий Сублицензиатом, указанных в пп.3.3. – 3.5. настоящего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договора. В случае нарушения Сублицензиатом данных условий, Сублицензиат лишается права на предоставление гарантий от Правообладателя в отношении Программного обеспечения.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В случае если Сублицензиат не устраняет нарушения в течение 30 (тридцати) календарных дней после получения письменного уведомления от Лицензиата о возникновении таковых Лицензиат имеет право расторгнуть настоящий </w:t>
      </w:r>
      <w:r>
        <w:rPr>
          <w:rFonts w:eastAsiaTheme="minorHAnsi"/>
          <w:sz w:val="26"/>
          <w:szCs w:val="26"/>
        </w:rPr>
        <w:t xml:space="preserve">Сублицензионный</w:t>
      </w:r>
      <w:r>
        <w:rPr>
          <w:rFonts w:eastAsiaTheme="minorHAnsi"/>
          <w:sz w:val="26"/>
          <w:szCs w:val="26"/>
        </w:rPr>
        <w:t xml:space="preserve"> договор в одностороннем порядке, письменно уведомив об этом Сублицензиата не менее, чем за 7 (семь) рабочих дней до предполагаемой даты расторжения.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Сублицензиату известны важнейшие функциональные свойства Программного обеспечения, в отношении которого предоставляются Лицензии, Сублицензиат несет риск соответствия Программного обеспечения его желаниям и потребностям, а также риск соответствия услови</w:t>
      </w:r>
      <w:r>
        <w:rPr>
          <w:rFonts w:eastAsiaTheme="minorHAnsi"/>
          <w:sz w:val="26"/>
          <w:szCs w:val="26"/>
        </w:rPr>
        <w:t xml:space="preserve">й и объема предоставляемых прав своим желаниям и потребностям. Лицензиат не несет ответственность за какие-либо убытки, ущерб, не зависимо от причин его возникновения, (включая, но, не ограничиваясь этим, особый, случайный или косвенный ущерб, убытки, связ</w:t>
      </w:r>
      <w:r>
        <w:rPr>
          <w:rFonts w:eastAsiaTheme="minorHAnsi"/>
          <w:sz w:val="26"/>
          <w:szCs w:val="26"/>
        </w:rPr>
        <w:t xml:space="preserve">анные с недополученной прибылью, прерыванием коммерческой или производственной деятельности, утратой деловой информации, небрежностью, или какие-либо иные убытки), возникшие вследствие использования или невозможности использования Программного обеспечения.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Сублицензиат предоставляет право Лицензиату в соответствии с действующим законодательством осуществлять проверку выполнения Сублицензиатом взятых на себя в соответствии с настоящим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 обязательств. </w:t>
      </w:r>
      <w:r>
        <w:rPr>
          <w:rFonts w:eastAsiaTheme="minorHAnsi"/>
          <w:sz w:val="26"/>
          <w:szCs w:val="26"/>
        </w:rPr>
      </w:r>
    </w:p>
    <w:p>
      <w:pPr>
        <w:contextualSpacing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</w:r>
      <w:r>
        <w:rPr>
          <w:rFonts w:eastAsiaTheme="minorHAnsi"/>
          <w:sz w:val="26"/>
          <w:szCs w:val="26"/>
        </w:rPr>
      </w:r>
    </w:p>
    <w:p>
      <w:pPr>
        <w:numPr>
          <w:ilvl w:val="0"/>
          <w:numId w:val="8"/>
        </w:numPr>
        <w:contextualSpacing/>
        <w:ind w:left="0" w:firstLine="709"/>
        <w:jc w:val="center"/>
        <w:widowControl/>
        <w:rPr>
          <w:rFonts w:eastAsiaTheme="minorHAnsi"/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Порядок сдачи и приемки экземпляров программного обеспечения</w:t>
      </w:r>
      <w:r>
        <w:rPr>
          <w:rFonts w:eastAsiaTheme="minorHAnsi"/>
          <w:b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Программное обеспечение передаётся</w:t>
      </w:r>
      <w:r>
        <w:rPr>
          <w:rFonts w:eastAsiaTheme="minorHAnsi"/>
          <w:sz w:val="26"/>
          <w:szCs w:val="26"/>
        </w:rPr>
        <w:t xml:space="preserve"> представителю Сублицензиата по средствам электронной почты на адрес Сублицензиата vanke_sv@tomskenergosbyt.ru не позже предоставления Акта приема-передачи прав использования ПО. Форма Акта приема-передачи представлена в Приложении № 3 к Договору поставки </w:t>
      </w:r>
      <w:r>
        <w:rPr>
          <w:rFonts w:eastAsiaTheme="minorHAnsi"/>
          <w:sz w:val="26"/>
          <w:szCs w:val="26"/>
        </w:rPr>
        <w:t xml:space="preserve">№  _</w:t>
      </w:r>
      <w:r>
        <w:rPr>
          <w:rFonts w:eastAsiaTheme="minorHAnsi"/>
          <w:sz w:val="26"/>
          <w:szCs w:val="26"/>
        </w:rPr>
        <w:t xml:space="preserve">______________.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Датой получения программного обеспечения Сублицензиатом считается дата подписания сторонами Акта приема-передачи.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Проверка наименования, комплектации, иных данных, касающихся предоставляемых прав использования программ, осуществляется Сублицензиатом не позднее 5 (пяти) рабочих дней с момента предоставления указанных прав. Подписание </w:t>
      </w:r>
      <w:r>
        <w:rPr>
          <w:rFonts w:eastAsiaTheme="minorHAnsi"/>
          <w:sz w:val="26"/>
          <w:szCs w:val="26"/>
        </w:rPr>
        <w:t xml:space="preserve">Акта приема-передачи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Сублицензиату. В случае выявления каких-либо несоответствий Стороны составляют соответствующий акт.</w:t>
      </w:r>
      <w:r>
        <w:rPr>
          <w:rFonts w:eastAsiaTheme="minorHAnsi"/>
          <w:sz w:val="26"/>
          <w:szCs w:val="26"/>
        </w:rPr>
      </w:r>
    </w:p>
    <w:p>
      <w:pPr>
        <w:numPr>
          <w:ilvl w:val="1"/>
          <w:numId w:val="8"/>
        </w:numPr>
        <w:contextualSpacing/>
        <w:ind w:left="0" w:firstLine="709"/>
        <w:jc w:val="both"/>
        <w:widowControl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В определенных случаях, предусмотренных условиями предоставления прав на использование программ для ЭВМ, установленных правообладателем, Сублицензиат должен обеспечить своевременное предоставление Лицензиату информации и д</w:t>
      </w:r>
      <w:r>
        <w:rPr>
          <w:rFonts w:eastAsiaTheme="minorHAnsi"/>
          <w:sz w:val="26"/>
          <w:szCs w:val="26"/>
        </w:rPr>
        <w:t xml:space="preserve">окументов, заполнение определенных форм или выполнить иные дополнительные требования, предусмотренные вышеуказанными условиями. Лицензиат предварительно письменно уведомляет Сублицензиата о такой необходимости. В случае несвоевременного выполнения Сублицен</w:t>
      </w:r>
      <w:r>
        <w:rPr>
          <w:rFonts w:eastAsiaTheme="minorHAnsi"/>
          <w:sz w:val="26"/>
          <w:szCs w:val="26"/>
        </w:rPr>
        <w:t xml:space="preserve">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Сублицензиатом, что не будет являться нарушением условий Договора и основанием для предъявле</w:t>
      </w:r>
      <w:r>
        <w:rPr>
          <w:rFonts w:eastAsiaTheme="minorHAnsi"/>
          <w:sz w:val="26"/>
          <w:szCs w:val="26"/>
        </w:rPr>
        <w:t xml:space="preserve">ния к Лицензиату требований о выплате неустойки. Стороны установили, что данные условия является существенным условием Договора. При невыполнении Сублицензиатом вышеуказанных требований Лицензиат в срок, установленный в уведомлении о необходимости предоста</w:t>
      </w:r>
      <w:r>
        <w:rPr>
          <w:rFonts w:eastAsiaTheme="minorHAnsi"/>
          <w:sz w:val="26"/>
          <w:szCs w:val="26"/>
        </w:rPr>
        <w:t xml:space="preserve">вления информации и документов, заполнения форм, вправе в одностороннем внесудебном порядке расторгнуть настоящий Договор. Сублицензиат несет ответственность за корректность и правильность данных и сведений, указываемых в предоставляемых формах/документах.</w:t>
      </w:r>
      <w:r>
        <w:rPr>
          <w:rFonts w:eastAsiaTheme="minorHAnsi"/>
          <w:sz w:val="26"/>
          <w:szCs w:val="26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0"/>
          <w:numId w:val="8"/>
        </w:numPr>
        <w:contextualSpacing/>
        <w:ind w:left="0" w:firstLine="709"/>
        <w:jc w:val="center"/>
        <w:widowControl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ГАРАНТИИ</w:t>
      </w:r>
      <w:r>
        <w:rPr>
          <w:b/>
          <w:sz w:val="26"/>
          <w:szCs w:val="26"/>
        </w:rPr>
      </w:r>
    </w:p>
    <w:p>
      <w:pPr>
        <w:pStyle w:val="1000"/>
        <w:numPr>
          <w:ilvl w:val="1"/>
          <w:numId w:val="8"/>
        </w:numPr>
        <w:ind w:left="0" w:firstLine="709"/>
        <w:jc w:val="both"/>
        <w:widowControl/>
        <w:rPr>
          <w:b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Лицензиат гарантирует полную защиту Сублицензиата от любых претензий и исков со стороны третьих лиц только в случае возбуждения против Сублицензиата судебных исков, основанных на том, что Сублицензиат неправомерно пользуется Программным обес</w:t>
      </w:r>
      <w:r>
        <w:rPr>
          <w:rFonts w:eastAsiaTheme="minorHAnsi"/>
          <w:sz w:val="26"/>
          <w:szCs w:val="26"/>
        </w:rPr>
        <w:t xml:space="preserve">печением. Лицензиат обязуется принять на себя эти претензии и возместить все убытки и расходы, понесенные Сублицензиатом в связи с нарушением таких прав, и за свой счет, и на свой риск незамедлительно принять меры к урегулированию заявленных претензий, выс</w:t>
      </w:r>
      <w:r>
        <w:rPr>
          <w:rFonts w:eastAsiaTheme="minorHAnsi"/>
          <w:sz w:val="26"/>
          <w:szCs w:val="26"/>
        </w:rPr>
        <w:t xml:space="preserve">тупить на стороне Сублицензиата и возместить все расходы Сублицензиата, определенные судом. Настоящее положение применяется при условии, если Сублицензиат незамедлительно уведомит Лицензиата о предъявленных ему претензиях в связи с использованием Лицензий.</w:t>
      </w:r>
      <w:r>
        <w:rPr>
          <w:b/>
          <w:sz w:val="26"/>
          <w:szCs w:val="26"/>
        </w:rPr>
      </w:r>
    </w:p>
    <w:p>
      <w:pPr>
        <w:pStyle w:val="1000"/>
        <w:numPr>
          <w:ilvl w:val="1"/>
          <w:numId w:val="8"/>
        </w:numPr>
        <w:ind w:left="0" w:firstLine="709"/>
        <w:jc w:val="both"/>
        <w:widowControl/>
        <w:rPr>
          <w:b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Лицензиат подтверждает и гарантирует, что у Сублицензиата при использовании Программного обеспечения ни при каких обстоятельствах не возникнут обязательства по вып</w:t>
      </w:r>
      <w:r>
        <w:rPr>
          <w:rFonts w:eastAsiaTheme="minorHAnsi"/>
          <w:sz w:val="26"/>
          <w:szCs w:val="26"/>
        </w:rPr>
        <w:t xml:space="preserve">лате дополнительного вознаграждения, как Лицензиату, так и любым третьим лицам. В случае, если Сублицензиату будут со стороны третьих лиц предъявлены счета на выплату дополнительного вознаграждения, Лицензиат выплачивает такое вознаграждение за свой счет. </w:t>
      </w:r>
      <w:r>
        <w:rPr>
          <w:b/>
          <w:sz w:val="26"/>
          <w:szCs w:val="26"/>
        </w:rPr>
      </w:r>
    </w:p>
    <w:p>
      <w:pPr>
        <w:ind w:firstLine="709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0"/>
          <w:numId w:val="8"/>
        </w:numPr>
        <w:contextualSpacing/>
        <w:ind w:left="0" w:firstLine="709"/>
        <w:jc w:val="center"/>
        <w:widowControl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</w:rPr>
        <w:t xml:space="preserve">ПРОЧИЕ ПОЛОЖЕНИЯ</w:t>
      </w:r>
      <w:r>
        <w:rPr>
          <w:b/>
          <w:sz w:val="26"/>
          <w:szCs w:val="26"/>
        </w:rPr>
      </w:r>
    </w:p>
    <w:p>
      <w:pPr>
        <w:pStyle w:val="1000"/>
        <w:numPr>
          <w:ilvl w:val="1"/>
          <w:numId w:val="8"/>
        </w:numPr>
        <w:ind w:left="0" w:firstLine="709"/>
        <w:jc w:val="both"/>
        <w:widowControl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Во всем, что не предусмотрено настоящим </w:t>
      </w:r>
      <w:r>
        <w:rPr>
          <w:rFonts w:eastAsiaTheme="minorHAnsi"/>
          <w:sz w:val="26"/>
          <w:szCs w:val="26"/>
        </w:rPr>
        <w:t xml:space="preserve">Сублицензионным</w:t>
      </w:r>
      <w:r>
        <w:rPr>
          <w:rFonts w:eastAsiaTheme="minorHAnsi"/>
          <w:sz w:val="26"/>
          <w:szCs w:val="26"/>
        </w:rPr>
        <w:t xml:space="preserve"> договором, к взаимоотношениям Сторон применяются условия Договора и законодательства Российской Федерации.</w:t>
      </w:r>
      <w:r>
        <w:rPr>
          <w:sz w:val="26"/>
          <w:szCs w:val="26"/>
        </w:rPr>
      </w:r>
    </w:p>
    <w:p>
      <w:pPr>
        <w:pStyle w:val="1000"/>
        <w:numPr>
          <w:ilvl w:val="1"/>
          <w:numId w:val="8"/>
        </w:numPr>
        <w:ind w:left="0" w:firstLine="709"/>
        <w:jc w:val="both"/>
        <w:widowControl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Настоящий </w:t>
      </w:r>
      <w:r>
        <w:rPr>
          <w:rFonts w:eastAsiaTheme="minorHAnsi"/>
          <w:sz w:val="26"/>
          <w:szCs w:val="26"/>
        </w:rPr>
        <w:t xml:space="preserve">Сублицензионный</w:t>
      </w:r>
      <w:r>
        <w:rPr>
          <w:rFonts w:eastAsiaTheme="minorHAnsi"/>
          <w:sz w:val="26"/>
          <w:szCs w:val="26"/>
        </w:rPr>
        <w:t xml:space="preserve"> договор вступает в силу с даты его подписания Сторонами и сохраняет свою силу в течение срока, на который Сублицензиату передаются Лицензии (п. 2.7. настоящего </w:t>
      </w:r>
      <w:r>
        <w:rPr>
          <w:rFonts w:eastAsiaTheme="minorHAnsi"/>
          <w:sz w:val="26"/>
          <w:szCs w:val="26"/>
        </w:rPr>
        <w:t xml:space="preserve">Сублицензионного</w:t>
      </w:r>
      <w:r>
        <w:rPr>
          <w:rFonts w:eastAsiaTheme="minorHAnsi"/>
          <w:sz w:val="26"/>
          <w:szCs w:val="26"/>
        </w:rPr>
        <w:t xml:space="preserve"> договора).</w:t>
      </w:r>
      <w:r>
        <w:rPr>
          <w:sz w:val="26"/>
          <w:szCs w:val="26"/>
        </w:rPr>
      </w:r>
    </w:p>
    <w:p>
      <w:pPr>
        <w:ind w:firstLine="709"/>
        <w:jc w:val="both"/>
        <w:spacing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990" w:type="dxa"/>
        <w:tblInd w:w="108" w:type="dxa"/>
        <w:tblLook w:val="04A0" w:firstRow="1" w:lastRow="0" w:firstColumn="1" w:lastColumn="0" w:noHBand="0" w:noVBand="1"/>
      </w:tblPr>
      <w:tblGrid>
        <w:gridCol w:w="4995"/>
        <w:gridCol w:w="4995"/>
      </w:tblGrid>
      <w:tr>
        <w:trPr>
          <w:trHeight w:val="304"/>
        </w:trPr>
        <w:tc>
          <w:tcPr>
            <w:tcW w:w="4995" w:type="dxa"/>
            <w:textDirection w:val="lrTb"/>
            <w:noWrap w:val="false"/>
          </w:tcPr>
          <w:p>
            <w:pPr>
              <w:spacing w:after="200" w:line="276" w:lineRule="auto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Лицензиата: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/>
            <w:r/>
          </w:p>
          <w:p>
            <w:pPr>
              <w:pStyle w:val="1038"/>
              <w:spacing w:before="0" w:beforeAutospacing="0" w:after="0" w:afterAutospacing="0"/>
            </w:pPr>
            <w:r/>
            <w:r/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keepNext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keepNext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keepNext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keepNext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    _______________ /</w:t>
            </w:r>
            <w:r>
              <w:rPr>
                <w:color w:val="000000"/>
              </w:rPr>
              <w:t xml:space="preserve"> __________</w:t>
            </w:r>
            <w:r>
              <w:rPr>
                <w:color w:val="000000"/>
                <w:sz w:val="26"/>
                <w:szCs w:val="26"/>
              </w:rPr>
              <w:t xml:space="preserve">/</w:t>
            </w:r>
            <w:r/>
          </w:p>
          <w:p>
            <w:pPr>
              <w:spacing w:after="200" w:line="276" w:lineRule="auto"/>
              <w:widowControl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tcW w:w="4995" w:type="dxa"/>
            <w:textDirection w:val="lrTb"/>
            <w:noWrap w:val="false"/>
          </w:tcPr>
          <w:p>
            <w:pPr>
              <w:spacing w:after="200" w:line="276" w:lineRule="auto"/>
              <w:widowControl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Сублицензиата: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1041"/>
              <w:keepNext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АО «</w:t>
            </w:r>
            <w:r>
              <w:rPr>
                <w:color w:val="000000"/>
                <w:sz w:val="26"/>
                <w:szCs w:val="26"/>
              </w:rPr>
              <w:t xml:space="preserve">Томскэнергосбыт</w:t>
            </w:r>
            <w:r>
              <w:rPr>
                <w:color w:val="000000"/>
                <w:sz w:val="26"/>
                <w:szCs w:val="26"/>
              </w:rPr>
              <w:t xml:space="preserve">»</w:t>
            </w:r>
            <w:r/>
          </w:p>
          <w:p>
            <w:pPr>
              <w:pStyle w:val="1038"/>
              <w:keepNext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/>
            <w:r/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spacing w:before="0" w:beforeAutospacing="0" w:after="0" w:afterAutospacing="0"/>
            </w:pPr>
            <w:r>
              <w:t xml:space="preserve"> </w:t>
            </w:r>
            <w:r/>
          </w:p>
          <w:p>
            <w:pPr>
              <w:pStyle w:val="1038"/>
              <w:jc w:val="both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________________________/</w:t>
            </w:r>
            <w:r>
              <w:rPr>
                <w:color w:val="000000"/>
                <w:sz w:val="26"/>
                <w:szCs w:val="26"/>
              </w:rPr>
              <w:t xml:space="preserve">_________</w:t>
            </w:r>
            <w:r>
              <w:rPr>
                <w:color w:val="000000"/>
                <w:sz w:val="26"/>
                <w:szCs w:val="26"/>
              </w:rPr>
              <w:t xml:space="preserve">/</w:t>
            </w:r>
            <w:r/>
          </w:p>
          <w:p>
            <w:pPr>
              <w:spacing w:after="200" w:line="276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spacing w:after="200" w:line="276" w:lineRule="auto"/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Приложение №3</w:t>
      </w:r>
      <w:r>
        <w:rPr>
          <w:sz w:val="26"/>
          <w:szCs w:val="26"/>
        </w:rPr>
      </w:r>
    </w:p>
    <w:p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к договору АО «</w:t>
      </w:r>
      <w:r>
        <w:rPr>
          <w:sz w:val="26"/>
          <w:szCs w:val="26"/>
        </w:rPr>
        <w:t xml:space="preserve">Томскэнергосбыт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</w:r>
    </w:p>
    <w:p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от _____________________________</w:t>
      </w:r>
      <w:r>
        <w:rPr>
          <w:sz w:val="26"/>
          <w:szCs w:val="26"/>
        </w:rPr>
      </w:r>
    </w:p>
    <w:p>
      <w:pPr>
        <w:ind w:left="10206"/>
        <w:rPr>
          <w:sz w:val="26"/>
          <w:szCs w:val="26"/>
        </w:rPr>
      </w:pPr>
      <w:r>
        <w:rPr>
          <w:sz w:val="26"/>
          <w:szCs w:val="26"/>
        </w:rPr>
        <w:t xml:space="preserve">№ _____________________________</w:t>
      </w:r>
      <w:r>
        <w:rPr>
          <w:sz w:val="26"/>
          <w:szCs w:val="26"/>
        </w:rPr>
      </w:r>
    </w:p>
    <w:p>
      <w:pPr>
        <w:pStyle w:val="1004"/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  <w:r>
        <w:rPr>
          <w:b/>
          <w:bCs/>
          <w:color w:val="000000"/>
          <w:sz w:val="22"/>
          <w:szCs w:val="22"/>
        </w:rPr>
      </w:r>
    </w:p>
    <w:p>
      <w:pPr>
        <w:jc w:val="center"/>
        <w:spacing w:after="60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ФОРМА АКТА </w:t>
      </w:r>
      <w:r>
        <w:rPr>
          <w:b/>
          <w:bCs/>
          <w:sz w:val="24"/>
          <w:szCs w:val="24"/>
        </w:rPr>
      </w:r>
    </w:p>
    <w:p>
      <w:pPr>
        <w:jc w:val="center"/>
        <w:spacing w:after="60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приема-передачи прав использования ПО </w:t>
      </w:r>
      <w:r>
        <w:rPr>
          <w:b/>
          <w:bCs/>
          <w:sz w:val="24"/>
          <w:szCs w:val="24"/>
        </w:rPr>
      </w:r>
    </w:p>
    <w:p>
      <w:pPr>
        <w:jc w:val="center"/>
        <w:spacing w:before="240" w:after="60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 к </w:t>
      </w:r>
      <w:r>
        <w:rPr>
          <w:b/>
          <w:bCs/>
          <w:sz w:val="24"/>
          <w:szCs w:val="24"/>
        </w:rPr>
        <w:t xml:space="preserve">Сублицензионному</w:t>
      </w:r>
      <w:r>
        <w:rPr>
          <w:b/>
          <w:bCs/>
          <w:sz w:val="24"/>
          <w:szCs w:val="24"/>
        </w:rPr>
        <w:t xml:space="preserve"> Договору № </w:t>
      </w:r>
      <w:r>
        <w:rPr>
          <w:sz w:val="24"/>
          <w:szCs w:val="24"/>
        </w:rPr>
        <w:t xml:space="preserve">____________ от «___» __________ 20__ года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</w:r>
    </w:p>
    <w:p>
      <w:pPr>
        <w:jc w:val="center"/>
        <w:spacing w:before="240" w:after="60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85"/>
        <w:gridCol w:w="981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spacing w:line="254" w:lineRule="auto"/>
              <w:rPr>
                <w:sz w:val="24"/>
                <w:szCs w:val="24"/>
                <w:lang w:eastAsia="en-US"/>
              </w:rPr>
              <w:outlineLvl w:val="0"/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9816" w:type="dxa"/>
            <w:textDirection w:val="lrTb"/>
            <w:noWrap w:val="false"/>
          </w:tcPr>
          <w:p>
            <w:pPr>
              <w:ind w:left="1347"/>
              <w:jc w:val="right"/>
              <w:spacing w:line="254" w:lineRule="auto"/>
              <w:rPr>
                <w:sz w:val="24"/>
                <w:szCs w:val="24"/>
                <w:lang w:eastAsia="en-US"/>
              </w:rPr>
              <w:outlineLvl w:val="0"/>
            </w:pPr>
            <w:r>
              <w:rPr>
                <w:sz w:val="24"/>
                <w:szCs w:val="24"/>
                <w:lang w:eastAsia="en-US"/>
              </w:rPr>
              <w:t xml:space="preserve">«___» __________ 20__ года</w:t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ind w:firstLine="53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Акционерное общество «Томская энергосбытовая компания» (АО «</w:t>
      </w:r>
      <w:r>
        <w:rPr>
          <w:b/>
          <w:bCs/>
          <w:sz w:val="24"/>
          <w:szCs w:val="24"/>
        </w:rPr>
        <w:t xml:space="preserve">Томскэнергосбыт</w:t>
      </w:r>
      <w:r>
        <w:rPr>
          <w:b/>
          <w:bCs/>
          <w:sz w:val="24"/>
          <w:szCs w:val="24"/>
        </w:rPr>
        <w:t xml:space="preserve">»), </w:t>
      </w:r>
      <w:r>
        <w:rPr>
          <w:sz w:val="24"/>
          <w:szCs w:val="24"/>
        </w:rPr>
        <w:t xml:space="preserve">именуемое в дальнейшем </w:t>
      </w:r>
      <w:r>
        <w:rPr>
          <w:b/>
          <w:bCs/>
          <w:sz w:val="24"/>
          <w:szCs w:val="24"/>
        </w:rPr>
        <w:t xml:space="preserve">Сублицензиат</w:t>
      </w:r>
      <w:r>
        <w:rPr>
          <w:sz w:val="24"/>
          <w:szCs w:val="24"/>
        </w:rPr>
        <w:t xml:space="preserve">, в лице ________________________________________, действующего на основании ____________, с одной стороны, и</w:t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_______________________________,</w:t>
      </w:r>
      <w:r>
        <w:rPr>
          <w:sz w:val="24"/>
          <w:szCs w:val="24"/>
        </w:rPr>
        <w:t xml:space="preserve"> именуемое в дальнейшем, </w:t>
      </w:r>
      <w:r>
        <w:rPr>
          <w:b/>
          <w:bCs/>
          <w:sz w:val="24"/>
          <w:szCs w:val="24"/>
        </w:rPr>
        <w:t xml:space="preserve">Лицензиат</w:t>
      </w:r>
      <w:r>
        <w:rPr>
          <w:sz w:val="24"/>
          <w:szCs w:val="24"/>
        </w:rPr>
        <w:t xml:space="preserve">, в лице ______________________, действующего на основании ____________, с другой стороны, совместно именуемые «Стороны», составили настоящий Акт о нижеследующем:</w:t>
      </w:r>
      <w:r>
        <w:rPr>
          <w:sz w:val="24"/>
          <w:szCs w:val="24"/>
        </w:rPr>
      </w:r>
    </w:p>
    <w:p>
      <w:pPr>
        <w:numPr>
          <w:ilvl w:val="0"/>
          <w:numId w:val="44"/>
        </w:numPr>
        <w:ind w:left="284" w:hanging="284"/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Лицензиат передал, а Сублицензиат принял право использования нижеуказанного ПО:</w:t>
      </w:r>
      <w:r>
        <w:rPr>
          <w:sz w:val="24"/>
          <w:szCs w:val="24"/>
        </w:rPr>
      </w:r>
    </w:p>
    <w:p>
      <w:pPr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pPr w:horzAnchor="page" w:tblpX="1356" w:vertAnchor="text" w:tblpY="-32" w:leftFromText="180" w:topFromText="0" w:rightFromText="180" w:bottomFromText="0"/>
        <w:tblW w:w="14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418"/>
        <w:gridCol w:w="1843"/>
        <w:gridCol w:w="1559"/>
        <w:gridCol w:w="1843"/>
        <w:gridCol w:w="1276"/>
        <w:gridCol w:w="1275"/>
        <w:gridCol w:w="1985"/>
        <w:gridCol w:w="2126"/>
      </w:tblGrid>
      <w:tr>
        <w:trPr>
          <w:cantSplit/>
          <w:trHeight w:val="12"/>
          <w:tblHeader/>
        </w:trPr>
        <w:tc>
          <w:tcPr>
            <w:shd w:val="clear" w:color="auto" w:fill="auto"/>
            <w:tcW w:w="15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</w:t>
            </w: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лицензии</w:t>
            </w:r>
            <w:r>
              <w:rPr>
                <w:sz w:val="22"/>
                <w:szCs w:val="22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Правообладатель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Артикул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Кол-во, шт.</w:t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действия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вознаграждения за одну лицензию, руб.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руб. без НДС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12"/>
          <w:tblHeader/>
        </w:trPr>
        <w:tc>
          <w:tcPr>
            <w:shd w:val="clear" w:color="auto" w:fill="auto"/>
            <w:tcW w:w="15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12"/>
          <w:tblHeader/>
        </w:trPr>
        <w:tc>
          <w:tcPr>
            <w:shd w:val="clear" w:color="auto" w:fill="auto"/>
            <w:tcW w:w="155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12"/>
          <w:tblHeader/>
        </w:trPr>
        <w:tc>
          <w:tcPr>
            <w:tcW w:w="1554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56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56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7"/>
            <w:tcW w:w="11907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56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стоимость составляет __________________ (______________________________________), НДС не облагается </w:t>
            </w:r>
            <w:r>
              <w:rPr>
                <w:bCs/>
                <w:sz w:val="22"/>
                <w:szCs w:val="22"/>
              </w:rPr>
              <w:t xml:space="preserve">в соответствии с </w:t>
            </w:r>
            <w:r>
              <w:rPr>
                <w:bCs/>
                <w:sz w:val="22"/>
                <w:szCs w:val="22"/>
              </w:rPr>
              <w:t xml:space="preserve">пп</w:t>
            </w:r>
            <w:r>
              <w:rPr>
                <w:bCs/>
                <w:sz w:val="22"/>
                <w:szCs w:val="22"/>
              </w:rPr>
              <w:t xml:space="preserve">. 26 п. 2 ст. 149 Налогового кодекса Российской Федерации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</w:p>
        </w:tc>
      </w:tr>
    </w:tbl>
    <w:p>
      <w:pPr>
        <w:numPr>
          <w:ilvl w:val="0"/>
          <w:numId w:val="44"/>
        </w:numPr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Срок, в течение которого должны быть переданы Лицензии: не более ____________ рабочих дней с даты согласования настоящей Спецификации. </w:t>
      </w:r>
      <w:r>
        <w:rPr>
          <w:sz w:val="24"/>
          <w:szCs w:val="24"/>
        </w:rPr>
      </w:r>
    </w:p>
    <w:p>
      <w:pPr>
        <w:numPr>
          <w:ilvl w:val="0"/>
          <w:numId w:val="44"/>
        </w:numPr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Способ передачи лицензий, документации: по средствам электронных средств связи (если Стороны не достигли соглашения об ином, то посредством пересылки на e-</w:t>
      </w:r>
      <w:r>
        <w:rPr>
          <w:sz w:val="24"/>
          <w:szCs w:val="24"/>
        </w:rPr>
        <w:t xml:space="preserve">mail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Сублицензиата «</w:t>
      </w:r>
      <w:r>
        <w:rPr>
          <w:sz w:val="24"/>
          <w:szCs w:val="24"/>
        </w:rPr>
        <w:t xml:space="preserve">___________________» на адрес: ___________________</w:t>
      </w:r>
      <w:r>
        <w:rPr>
          <w:sz w:val="24"/>
          <w:szCs w:val="24"/>
        </w:rPr>
      </w:r>
    </w:p>
    <w:p>
      <w:pPr>
        <w:numPr>
          <w:ilvl w:val="0"/>
          <w:numId w:val="44"/>
        </w:numPr>
        <w:ind w:left="426" w:hanging="426"/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Настоящий Акт подтверждает надлежащее выполнение Лицензиатом своих обязательств по предоставлению прав на использование ПО Сублицензиату.</w:t>
      </w:r>
      <w:r>
        <w:rPr>
          <w:sz w:val="24"/>
          <w:szCs w:val="24"/>
        </w:rPr>
      </w:r>
    </w:p>
    <w:p>
      <w:pPr>
        <w:numPr>
          <w:ilvl w:val="0"/>
          <w:numId w:val="44"/>
        </w:numPr>
        <w:ind w:left="426" w:hanging="426"/>
        <w:jc w:val="both"/>
        <w:widowControl/>
        <w:tabs>
          <w:tab w:val="left" w:pos="851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Стороны претензий друг к другу не имеют.</w:t>
      </w:r>
      <w:r>
        <w:rPr>
          <w:sz w:val="24"/>
          <w:szCs w:val="24"/>
        </w:rPr>
      </w:r>
    </w:p>
    <w:p>
      <w:pPr>
        <w:jc w:val="center"/>
        <w:tabs>
          <w:tab w:val="left" w:pos="-567" w:leader="none"/>
        </w:tabs>
        <w:rPr>
          <w:b/>
          <w:bCs/>
          <w:sz w:val="24"/>
          <w:szCs w:val="24"/>
        </w:rPr>
        <w:outlineLvl w:val="2"/>
      </w:pPr>
      <w:r>
        <w:rPr>
          <w:b/>
          <w:bCs/>
          <w:sz w:val="24"/>
          <w:szCs w:val="24"/>
          <w:lang w:val="en-US"/>
        </w:rPr>
        <w:t xml:space="preserve">Подписи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 xml:space="preserve">С</w:t>
      </w:r>
      <w:r>
        <w:rPr>
          <w:b/>
          <w:bCs/>
          <w:sz w:val="24"/>
          <w:szCs w:val="24"/>
          <w:lang w:val="en-US"/>
        </w:rPr>
        <w:t xml:space="preserve">торон</w:t>
      </w:r>
      <w:r>
        <w:rPr>
          <w:b/>
          <w:bCs/>
          <w:sz w:val="24"/>
          <w:szCs w:val="24"/>
        </w:rPr>
        <w:t xml:space="preserve">:</w:t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-567" w:leader="none"/>
        </w:tabs>
        <w:rPr>
          <w:sz w:val="24"/>
          <w:szCs w:val="24"/>
        </w:rPr>
        <w:outlineLvl w:val="2"/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230"/>
        <w:gridCol w:w="7371"/>
      </w:tblGrid>
      <w:tr>
        <w:trPr>
          <w:trHeight w:val="80"/>
        </w:trPr>
        <w:tc>
          <w:tcPr>
            <w:tcW w:w="7230" w:type="dxa"/>
            <w:textDirection w:val="lrTb"/>
            <w:noWrap w:val="false"/>
          </w:tcPr>
          <w:p>
            <w:pPr>
              <w:jc w:val="both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</w:rPr>
              <w:t xml:space="preserve">Лицензиата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_____________________/_____________/</w:t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737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Сублицензиата: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_____________________/_____________/</w:t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ind w:left="-900" w:firstLine="1467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 xml:space="preserve">Форму утверждаем:</w:t>
      </w:r>
      <w:r>
        <w:rPr>
          <w:b/>
          <w:bCs/>
          <w:sz w:val="24"/>
          <w:szCs w:val="24"/>
          <w:lang w:eastAsia="en-US"/>
        </w:rPr>
      </w:r>
    </w:p>
    <w:p>
      <w:pPr>
        <w:ind w:left="-900" w:firstLine="1467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</w:r>
      <w:r>
        <w:rPr>
          <w:b/>
          <w:bCs/>
          <w:sz w:val="24"/>
          <w:szCs w:val="24"/>
          <w:lang w:eastAsia="en-US"/>
        </w:rPr>
      </w: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371"/>
        <w:gridCol w:w="7230"/>
      </w:tblGrid>
      <w:tr>
        <w:trPr>
          <w:trHeight w:val="80"/>
        </w:trPr>
        <w:tc>
          <w:tcPr>
            <w:tcW w:w="7371" w:type="dxa"/>
            <w:textDirection w:val="lrTb"/>
            <w:noWrap w:val="false"/>
          </w:tcPr>
          <w:p>
            <w:pPr>
              <w:jc w:val="both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</w:rPr>
              <w:t xml:space="preserve">Лицензиата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/_____________ /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7230" w:type="dxa"/>
            <w:textDirection w:val="lrTb"/>
            <w:noWrap w:val="false"/>
          </w:tcPr>
          <w:p>
            <w:pPr>
              <w:jc w:val="both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Сублицензиата: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_________________________ /</w:t>
            </w:r>
            <w:r>
              <w:rPr>
                <w:sz w:val="24"/>
                <w:szCs w:val="24"/>
                <w:lang w:eastAsia="en-US"/>
              </w:rPr>
              <w:t xml:space="preserve">___________ </w:t>
            </w:r>
            <w:r>
              <w:rPr>
                <w:sz w:val="24"/>
                <w:szCs w:val="24"/>
                <w:lang w:eastAsia="en-US"/>
              </w:rPr>
              <w:t xml:space="preserve">/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ind w:left="11340"/>
      </w:pPr>
      <w:r/>
      <w:r/>
    </w:p>
    <w:p>
      <w:pPr>
        <w:widowControl/>
      </w:pPr>
      <w:r>
        <w:br w:type="page" w:clear="all"/>
      </w:r>
      <w:r/>
    </w:p>
    <w:p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Приложение №4</w:t>
      </w:r>
      <w:r>
        <w:rPr>
          <w:sz w:val="26"/>
          <w:szCs w:val="26"/>
        </w:rPr>
      </w:r>
    </w:p>
    <w:p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к договору АО «</w:t>
      </w:r>
      <w:r>
        <w:rPr>
          <w:sz w:val="26"/>
          <w:szCs w:val="26"/>
        </w:rPr>
        <w:t xml:space="preserve">Томскэнергосбыт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</w:r>
    </w:p>
    <w:p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от _____________________________</w:t>
      </w:r>
      <w:r>
        <w:rPr>
          <w:sz w:val="26"/>
          <w:szCs w:val="26"/>
        </w:rPr>
      </w:r>
    </w:p>
    <w:p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№ _____________________________</w:t>
      </w:r>
      <w:r>
        <w:rPr>
          <w:sz w:val="26"/>
          <w:szCs w:val="2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</w:rPr>
      </w:pPr>
      <w:r>
        <w:rPr>
          <w:rFonts w:eastAsiaTheme="minorHAnsi"/>
          <w:b/>
        </w:rPr>
        <w:t xml:space="preserve">Форма по раскрытию информации в отношении всей цепочки собственников,</w:t>
      </w:r>
      <w:r>
        <w:rPr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</w:rPr>
      </w:pPr>
      <w:r>
        <w:rPr>
          <w:rFonts w:eastAsiaTheme="minorHAnsi"/>
          <w:b/>
        </w:rPr>
        <w:t xml:space="preserve">включая бенефициаров (в том числе, конечных)</w:t>
      </w:r>
      <w:r>
        <w:rPr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i/>
        </w:rPr>
      </w:pPr>
      <w:r>
        <w:rPr>
          <w:rFonts w:eastAsiaTheme="minorHAnsi"/>
          <w:i/>
        </w:rPr>
        <w:t xml:space="preserve">Организационно-правовая форма (полностью) «Наименование контрагента»</w:t>
      </w:r>
      <w:r>
        <w:rPr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</w:pPr>
      <w:r>
        <w:t xml:space="preserve">Дата </w:t>
      </w:r>
      <w:r>
        <w:rPr>
          <w:rFonts w:eastAsiaTheme="minorHAnsi"/>
          <w:i/>
        </w:rPr>
        <w:t xml:space="preserve">заполнения число / месяц / год</w:t>
      </w:r>
      <w:r/>
    </w:p>
    <w:tbl>
      <w:tblPr>
        <w:tblpPr w:horzAnchor="margin" w:tblpXSpec="left" w:vertAnchor="text" w:tblpY="86" w:leftFromText="180" w:topFromText="0" w:rightFromText="180" w:bottomFromText="160"/>
        <w:tblW w:w="14737" w:type="dxa"/>
        <w:tblLayout w:type="fixed"/>
        <w:tblLook w:val="00A0" w:firstRow="1" w:lastRow="0" w:firstColumn="1" w:lastColumn="0" w:noHBand="0" w:noVBand="0"/>
      </w:tblPr>
      <w:tblGrid>
        <w:gridCol w:w="583"/>
        <w:gridCol w:w="688"/>
        <w:gridCol w:w="851"/>
        <w:gridCol w:w="1426"/>
        <w:gridCol w:w="1032"/>
        <w:gridCol w:w="952"/>
        <w:gridCol w:w="1126"/>
        <w:gridCol w:w="425"/>
        <w:gridCol w:w="1064"/>
        <w:gridCol w:w="753"/>
        <w:gridCol w:w="957"/>
        <w:gridCol w:w="740"/>
        <w:gridCol w:w="1420"/>
        <w:gridCol w:w="1161"/>
        <w:gridCol w:w="1559"/>
      </w:tblGrid>
      <w:tr>
        <w:trPr>
          <w:cantSplit/>
          <w:trHeight w:val="315"/>
        </w:trPr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№ п/п</w:t>
            </w:r>
            <w:r>
              <w:rPr>
                <w:lang w:eastAsia="zh-TW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75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Наименование контрагента (ИНН, вид деятельности)</w:t>
            </w:r>
            <w:r>
              <w:rPr>
                <w:lang w:eastAsia="zh-TW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079" w:type="dxa"/>
            <w:vAlign w:val="bottom"/>
            <w:textDirection w:val="lrTb"/>
            <w:noWrap w:val="false"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lang w:eastAsia="zh-TW"/>
              </w:rPr>
            </w:r>
          </w:p>
        </w:tc>
      </w:tr>
      <w:tr>
        <w:trPr>
          <w:cantSplit/>
          <w:trHeight w:val="15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rPr>
                <w:lang w:eastAsia="zh-TW"/>
              </w:rPr>
            </w:pPr>
            <w:r>
              <w:rPr>
                <w:lang w:eastAsia="zh-TW"/>
              </w:rPr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ИНН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ОГРН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Наименование краткое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Код ОКВЭД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Фамилия, Имя, Отчество руководителя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Серия и номер документа удостоверяющего личность руководителя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№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ИНН </w:t>
            </w:r>
            <w:r>
              <w:rPr>
                <w:lang w:eastAsia="zh-TW"/>
              </w:rPr>
            </w:r>
          </w:p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(при наличии)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ОГРН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Наименование / Ф.И.О.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Адрес регистрации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Серия и номер документа удостоверяющего личность физического лица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Руководитель /участник /бенефициар</w:t>
            </w:r>
            <w:r>
              <w:rPr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Информация о подтверждающих документах (наименование, номера и т.д.)</w:t>
            </w:r>
            <w:r>
              <w:rPr>
                <w:lang w:eastAsia="zh-TW"/>
              </w:rPr>
            </w:r>
          </w:p>
        </w:tc>
      </w:tr>
      <w:tr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2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3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4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5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6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7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8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9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10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11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12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13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14</w:t>
            </w:r>
            <w:r>
              <w:rPr>
                <w:i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i/>
                <w:lang w:eastAsia="zh-TW"/>
              </w:rPr>
            </w:pPr>
            <w:r>
              <w:rPr>
                <w:i/>
                <w:lang w:eastAsia="zh-TW"/>
              </w:rPr>
              <w:t xml:space="preserve">15</w:t>
            </w:r>
            <w:r>
              <w:rPr>
                <w:i/>
                <w:lang w:eastAsia="zh-TW"/>
              </w:rPr>
            </w:r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line="256" w:lineRule="auto"/>
              <w:rPr>
                <w:lang w:eastAsia="zh-TW"/>
              </w:rPr>
            </w:pPr>
            <w:r>
              <w:rPr>
                <w:lang w:eastAsia="zh-TW"/>
              </w:rPr>
              <w:t xml:space="preserve"> </w:t>
            </w:r>
            <w:r>
              <w:rPr>
                <w:lang w:eastAsia="zh-TW"/>
              </w:rPr>
            </w:r>
          </w:p>
        </w:tc>
      </w:tr>
    </w:tbl>
    <w:p>
      <w:pPr>
        <w:numPr>
          <w:ilvl w:val="1"/>
          <w:numId w:val="19"/>
        </w:numPr>
        <w:ind w:left="567"/>
        <w:jc w:val="both"/>
        <w:widowControl/>
        <w:tabs>
          <w:tab w:val="left" w:pos="142" w:leader="none"/>
          <w:tab w:val="center" w:pos="4677" w:leader="none"/>
          <w:tab w:val="right" w:pos="935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Контрагент (указать: Поставщик/Подрядчик/ иное наименование контрагента) гарантирует Обществу (указать: Покупатель/иное наимен</w:t>
      </w:r>
      <w:r>
        <w:t xml:space="preserve">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Покупатель/иное наименование Общества) являются полными, точными и достоверными.</w:t>
      </w:r>
      <w:r/>
    </w:p>
    <w:p>
      <w:pPr>
        <w:numPr>
          <w:ilvl w:val="1"/>
          <w:numId w:val="19"/>
        </w:numPr>
        <w:ind w:left="567"/>
        <w:jc w:val="both"/>
        <w:widowControl/>
        <w:tabs>
          <w:tab w:val="left" w:pos="142" w:leader="none"/>
          <w:tab w:val="center" w:pos="4677" w:leader="none"/>
          <w:tab w:val="right" w:pos="935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Контрагент (указать: Поставщик/Подрядчик/ иное наименование контрагента) настоящим выдает согласие и подтверждает получение им всех требуемых в с</w:t>
      </w:r>
      <w:r>
        <w:t xml:space="preserve">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Покупател</w:t>
      </w:r>
      <w:r>
        <w:t xml:space="preserve">ь</w:t>
      </w:r>
      <w:r>
        <w:t xml:space="preserve">/иное наименование Общества) полность</w:t>
      </w:r>
      <w:r>
        <w:t xml:space="preserve">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</w:t>
      </w:r>
      <w:r>
        <w:t xml:space="preserve">(далее - Раскрытие). Контрагент (указать: Поставщик/Подрядчик/ иное наименование контрагента) настоящим освобождает Общество (указать: Покупатель/иное наименование Общества) от любой ответственности в связи с Раскрытием, в том числе возмещает Обществу (ука</w:t>
      </w:r>
      <w:r>
        <w:t xml:space="preserve">зать: Покупатель/иное наименование Общества) убытки, понесенные в связи с предъявлением Обществу (указать: Покупатель/иное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/>
    </w:p>
    <w:p>
      <w:pPr>
        <w:jc w:val="right"/>
        <w:tabs>
          <w:tab w:val="center" w:pos="4677" w:leader="none"/>
          <w:tab w:val="right" w:pos="9355" w:leader="none"/>
        </w:tabs>
        <w:rPr>
          <w:b/>
        </w:rPr>
      </w:pPr>
      <w:r>
        <w:rPr>
          <w:rFonts w:eastAsiaTheme="minorHAnsi"/>
          <w:b/>
        </w:rPr>
        <w:t xml:space="preserve">подпись уполномоченного лица организации</w:t>
      </w:r>
      <w:r>
        <w:rPr>
          <w:b/>
        </w:rPr>
      </w:r>
    </w:p>
    <w:p>
      <w:pPr>
        <w:jc w:val="right"/>
        <w:rPr>
          <w:b/>
        </w:rPr>
      </w:pPr>
      <w:r>
        <w:rPr>
          <w:rFonts w:eastAsiaTheme="minorHAnsi"/>
          <w:b/>
        </w:rPr>
        <w:t xml:space="preserve">печать организации</w:t>
      </w:r>
      <w:r>
        <w:rPr>
          <w:b/>
        </w:rPr>
      </w:r>
    </w:p>
    <w:p>
      <w:pPr>
        <w:rPr>
          <w:b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134" w:right="709" w:bottom="1134" w:left="1418" w:header="708" w:footer="708" w:gutter="0"/>
          <w:cols w:num="1" w:sep="0" w:space="720" w:equalWidth="1"/>
          <w:docGrid w:linePitch="360"/>
        </w:sectPr>
      </w:pPr>
      <w:r>
        <w:rPr>
          <w:b/>
        </w:rPr>
      </w:r>
      <w:r>
        <w:rPr>
          <w:b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Приложение №5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к договору АО «</w:t>
      </w:r>
      <w:r>
        <w:rPr>
          <w:sz w:val="24"/>
          <w:szCs w:val="24"/>
        </w:rPr>
        <w:t xml:space="preserve">Томскэнергосбыт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от _____________________________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№ _____________________________</w:t>
      </w:r>
      <w:r>
        <w:rPr>
          <w:sz w:val="24"/>
          <w:szCs w:val="24"/>
          <w:highlight w:val="yellow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b/>
        </w:rPr>
      </w:pPr>
      <w:r>
        <w:rPr>
          <w:b/>
        </w:rPr>
      </w:r>
      <w:r>
        <w:rPr>
          <w:b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980"/>
        <w:gridCol w:w="5799"/>
      </w:tblGrid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048"/>
              <w:jc w:val="center"/>
              <w:keepLine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7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Субъект персональных данных</w:t>
            </w: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043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Субъект персональных данных»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), настоящим дает свое согласие Акционерное общество «Томская энергосбытовая компания» (далее – «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Оператор»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), зарегистрированному по а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дресу: 634034, г. Томск, ул. Котовского, 19, на обработку своих персональных данных в соответствии с Федеральным законом от 27.07.2006 № 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7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фамилия, имя, отчество;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далее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Персональные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данные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7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pPr>
            <w:r/>
            <w:bookmarkStart w:id="8" w:name="_Ref69133461"/>
            <w:r/>
            <w:bookmarkStart w:id="9" w:name="_Hlk98944287"/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"/>
            <w:r/>
            <w:bookmarkEnd w:id="9"/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данных для</w:t>
            </w: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6"/>
                <w:szCs w:val="26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7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Times New Roman" w:hAnsi="Times New Roman"/>
                <w:b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7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4"/>
              <w:numPr>
                <w:ilvl w:val="2"/>
                <w:numId w:val="38"/>
              </w:numPr>
              <w:ind w:left="604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д. 27, стр. 3;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4"/>
              <w:numPr>
                <w:ilvl w:val="2"/>
                <w:numId w:val="38"/>
              </w:numPr>
              <w:ind w:left="604" w:hanging="604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д. 27, стр. 2;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4"/>
              <w:ind w:left="604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REF</w:instrTex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Ref</w:instrTex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69133461 \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r</w:instrTex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h</w:instrTex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6"/>
                <w:szCs w:val="26"/>
              </w:rPr>
              <w:instrText xml:space="preserve">MERGEFORMAT</w:instrTex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выше.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4"/>
              <w:numPr>
                <w:ilvl w:val="2"/>
                <w:numId w:val="38"/>
              </w:numPr>
              <w:ind w:left="604" w:hanging="604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д. 27, стр. 3;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6"/>
              <w:ind w:left="567" w:hanging="567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69133461 \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instrText xml:space="preserve">r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instrText xml:space="preserve">h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instrText xml:space="preserve">MERGEFORMAT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выше.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6"/>
              <w:ind w:left="601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2"/>
              <w:numPr>
                <w:ilvl w:val="0"/>
                <w:numId w:val="3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/>
                <w:b/>
                <w:bCs/>
                <w:smallCaps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043"/>
              <w:numPr>
                <w:ilvl w:val="1"/>
                <w:numId w:val="3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</w:r>
          </w:p>
        </w:tc>
      </w:tr>
      <w:tr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r/>
            <w:r/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043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043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r/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к договору АО «</w:t>
      </w:r>
      <w:r>
        <w:rPr>
          <w:sz w:val="24"/>
          <w:szCs w:val="24"/>
        </w:rPr>
        <w:t xml:space="preserve">Томскэнергосбыт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от _____________________________</w:t>
      </w:r>
      <w:r>
        <w:rPr>
          <w:sz w:val="24"/>
          <w:szCs w:val="24"/>
        </w:rPr>
      </w:r>
    </w:p>
    <w:p>
      <w:pPr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№ _____________________________</w:t>
      </w:r>
      <w:r>
        <w:rPr>
          <w:sz w:val="24"/>
          <w:szCs w:val="24"/>
        </w:rPr>
      </w:r>
    </w:p>
    <w:p>
      <w:pPr>
        <w:jc w:val="center"/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о стране происхождения товара</w:t>
      </w:r>
      <w:r>
        <w:rPr>
          <w:b/>
          <w:sz w:val="26"/>
          <w:szCs w:val="26"/>
        </w:rPr>
      </w:r>
    </w:p>
    <w:p>
      <w:pPr>
        <w:ind w:left="-567" w:firstLine="567"/>
        <w:jc w:val="center"/>
      </w:pPr>
      <w:r/>
      <w:r/>
    </w:p>
    <w:tbl>
      <w:tblPr>
        <w:tblStyle w:val="1021"/>
        <w:tblW w:w="10456" w:type="dxa"/>
        <w:jc w:val="center"/>
        <w:tblLook w:val="04A0" w:firstRow="1" w:lastRow="0" w:firstColumn="1" w:lastColumn="0" w:noHBand="0" w:noVBand="1"/>
      </w:tblPr>
      <w:tblGrid>
        <w:gridCol w:w="560"/>
        <w:gridCol w:w="1985"/>
        <w:gridCol w:w="1951"/>
        <w:gridCol w:w="2299"/>
        <w:gridCol w:w="1831"/>
        <w:gridCol w:w="1830"/>
      </w:tblGrid>
      <w:tr>
        <w:trPr>
          <w:jc w:val="center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ind w:right="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</w:t>
            </w:r>
            <w:r>
              <w:rPr>
                <w:sz w:val="22"/>
                <w:szCs w:val="22"/>
              </w:rPr>
            </w:r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товара по Общероссийскому классификатору продукции по видам экономической деятельности ОК 034-2014 (КПЕС 2008) (ОКПД2)</w:t>
            </w:r>
            <w:r>
              <w:rPr>
                <w:sz w:val="22"/>
                <w:szCs w:val="22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реестровой записи товара в реестрах, предусмотренных пунктом 2 Постановления № 2013</w:t>
            </w:r>
            <w:r>
              <w:rPr>
                <w:sz w:val="22"/>
                <w:szCs w:val="22"/>
                <w:vertAlign w:val="superscript"/>
              </w:rPr>
              <w:t xml:space="preserve">* </w:t>
            </w:r>
            <w:r>
              <w:rPr>
                <w:sz w:val="22"/>
                <w:szCs w:val="22"/>
              </w:rPr>
              <w:t xml:space="preserve">(при наличии)</w:t>
            </w:r>
            <w:r>
              <w:rPr>
                <w:sz w:val="22"/>
                <w:szCs w:val="22"/>
              </w:rPr>
            </w:r>
          </w:p>
        </w:tc>
        <w:tc>
          <w:tcPr>
            <w:tcW w:w="2361" w:type="dxa"/>
            <w:vAlign w:val="center"/>
            <w:textDirection w:val="lrTb"/>
            <w:noWrap w:val="false"/>
          </w:tcPr>
          <w:p>
            <w:pPr>
              <w:ind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товара</w:t>
            </w:r>
            <w:r>
              <w:rPr>
                <w:sz w:val="22"/>
                <w:szCs w:val="22"/>
              </w:rPr>
            </w:r>
          </w:p>
        </w:tc>
        <w:tc>
          <w:tcPr>
            <w:tcW w:w="18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товара, в том числе поставленного при выполнении закупаемых работ, оказании закупаемых услуг (рублей без НДС)</w:t>
            </w:r>
            <w:r>
              <w:rPr>
                <w:sz w:val="22"/>
                <w:szCs w:val="22"/>
              </w:rPr>
            </w:r>
          </w:p>
        </w:tc>
        <w:tc>
          <w:tcPr>
            <w:tcW w:w="18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Объём российского товара, в том числе товара, поставленного при выполнении закупаемых работ, оказании закупаемых услуг (рублей без НДС)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ind w:right="43"/>
              <w:jc w:val="center"/>
            </w:pPr>
            <w:r>
              <w:t xml:space="preserve">1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43"/>
              <w:jc w:val="both"/>
            </w:pPr>
            <w:r/>
            <w:r/>
          </w:p>
        </w:tc>
        <w:tc>
          <w:tcPr>
            <w:tcW w:w="23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</w:r>
            <w:r>
              <w:rPr>
                <w:rFonts w:eastAsiaTheme="minorHAnsi"/>
                <w:sz w:val="22"/>
                <w:szCs w:val="22"/>
              </w:rPr>
            </w:r>
          </w:p>
        </w:tc>
        <w:tc>
          <w:tcPr>
            <w:tcW w:w="1853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52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rPr>
          <w:jc w:val="center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ind w:right="43"/>
              <w:jc w:val="center"/>
            </w:pPr>
            <w:r>
              <w:t xml:space="preserve">2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43"/>
              <w:jc w:val="both"/>
            </w:pPr>
            <w:r/>
            <w:r/>
          </w:p>
        </w:tc>
        <w:tc>
          <w:tcPr>
            <w:tcW w:w="23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</w:r>
            <w:r>
              <w:rPr>
                <w:rFonts w:eastAsiaTheme="minorHAnsi"/>
                <w:sz w:val="22"/>
                <w:szCs w:val="22"/>
              </w:rPr>
            </w:r>
          </w:p>
        </w:tc>
        <w:tc>
          <w:tcPr>
            <w:tcW w:w="1853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52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rPr>
          <w:jc w:val="center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ind w:right="43"/>
              <w:jc w:val="center"/>
            </w:pPr>
            <w:r>
              <w:t xml:space="preserve">3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43"/>
              <w:jc w:val="both"/>
            </w:pPr>
            <w:r/>
            <w:r/>
          </w:p>
        </w:tc>
        <w:tc>
          <w:tcPr>
            <w:tcW w:w="23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</w:r>
            <w:r>
              <w:rPr>
                <w:rFonts w:eastAsiaTheme="minorHAnsi"/>
                <w:sz w:val="22"/>
                <w:szCs w:val="22"/>
              </w:rPr>
            </w:r>
          </w:p>
        </w:tc>
        <w:tc>
          <w:tcPr>
            <w:tcW w:w="1853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852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left="-567" w:firstLine="567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-567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Поставщик: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</w:p>
    <w:p>
      <w:pPr>
        <w:pStyle w:val="813"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</w:r>
    </w:p>
    <w:p>
      <w:pPr>
        <w:pStyle w:val="813"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  <w:t xml:space="preserve">_____________ /_____________/</w:t>
      </w:r>
      <w:r>
        <w:rPr>
          <w:sz w:val="26"/>
          <w:szCs w:val="26"/>
        </w:rPr>
        <w:tab/>
      </w:r>
      <w:r>
        <w:rPr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  <w:t xml:space="preserve">Дата:</w:t>
      </w:r>
      <w:r>
        <w:rPr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-567"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16"/>
          <w:szCs w:val="16"/>
        </w:rPr>
      </w:pPr>
      <w:r>
        <w:rPr>
          <w:vertAlign w:val="superscript"/>
        </w:rPr>
        <w:t xml:space="preserve">*</w:t>
      </w:r>
      <w:r>
        <w:t xml:space="preserve"> Номер реестровой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</w:t>
      </w:r>
      <w:r>
        <w:t xml:space="preserve">сключением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</w:t>
      </w:r>
      <w:r>
        <w:t xml:space="preserve">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b/>
        </w:rPr>
        <w:t xml:space="preserve">ИЛИ</w:t>
      </w:r>
      <w:r>
        <w:t xml:space="preserve"> в единый реестр р</w:t>
      </w:r>
      <w:r>
        <w:t xml:space="preserve">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</w:t>
      </w:r>
      <w:r>
        <w:t xml:space="preserve">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  <w:r>
        <w:rPr>
          <w:sz w:val="16"/>
          <w:szCs w:val="16"/>
        </w:rPr>
      </w:r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MS Mincho">
    <w:panose1 w:val="02020603050405090304"/>
  </w:font>
  <w:font w:name="Tahoma">
    <w:panose1 w:val="020B0604030504040204"/>
  </w:font>
  <w:font w:name="Courier New">
    <w:panose1 w:val="02070309020205020404"/>
  </w:font>
  <w:font w:name="SimSun">
    <w:panose1 w:val="02000506000000020000"/>
  </w:font>
  <w:font w:name="Verdan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29"/>
        <w:jc w:val="both"/>
        <w:rPr>
          <w:rFonts w:ascii="Times New Roman" w:hAnsi="Times New Roman" w:cs="Times New Roman"/>
        </w:rPr>
      </w:pPr>
      <w:r>
        <w:rPr>
          <w:rStyle w:val="1028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и присвоения номера реестровой записи, предусмотренные частью 8 статьи 45 Федерального закона от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05.04.2013 № 44-ФЗ «О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</w:footnote>
  <w:footnote w:id="3">
    <w:p>
      <w:pPr>
        <w:pStyle w:val="1029"/>
      </w:pPr>
      <w:r>
        <w:rPr>
          <w:rStyle w:val="1028"/>
        </w:rPr>
        <w:footnoteRef/>
      </w:r>
      <w:r>
        <w:t xml:space="preserve"> </w:t>
      </w:r>
      <w:r>
        <w:rPr>
          <w:rFonts w:ascii="Times New Roman" w:hAnsi="Times New Roman"/>
          <w:sz w:val="16"/>
        </w:rPr>
        <w:t xml:space="preserve">Указание электронного адреса может не применяться в исключительных случаях при технической невозможности указания адреса электронной почты при автоматическом формирования документа в системах контрагентом, например, потоковое формирование счетов в </w:t>
      </w:r>
      <w:r>
        <w:rPr>
          <w:rFonts w:ascii="Times New Roman" w:hAnsi="Times New Roman"/>
          <w:sz w:val="16"/>
        </w:rPr>
        <w:t xml:space="preserve">биллинговых</w:t>
      </w:r>
      <w:r>
        <w:rPr>
          <w:rFonts w:ascii="Times New Roman" w:hAnsi="Times New Roman"/>
          <w:sz w:val="16"/>
        </w:rPr>
        <w:t xml:space="preserve"> системах операторов связи.</w:t>
      </w:r>
      <w:r/>
    </w:p>
  </w:footnote>
  <w:footnote w:id="4">
    <w:p>
      <w:pPr>
        <w:pStyle w:val="1029"/>
      </w:pPr>
      <w:r>
        <w:rPr>
          <w:rStyle w:val="1028"/>
        </w:rPr>
        <w:footnoteRef/>
      </w:r>
      <w:r>
        <w:t xml:space="preserve"> </w:t>
      </w:r>
      <w:r>
        <w:rPr>
          <w:rFonts w:ascii="Times New Roman" w:hAnsi="Times New Roman"/>
          <w:sz w:val="16"/>
        </w:rPr>
        <w:t xml:space="preserve">Данное положение закр</w:t>
      </w:r>
      <w:r>
        <w:rPr>
          <w:rFonts w:ascii="Times New Roman" w:hAnsi="Times New Roman"/>
          <w:sz w:val="16"/>
        </w:rPr>
        <w:t xml:space="preserve">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регистрации, а также используется для целей формирования сторонами первичных учетных документов (ПУД) по договору.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</w:t>
    </w:r>
    <w:r>
      <w:rPr>
        <w:sz w:val="24"/>
        <w:szCs w:val="24"/>
      </w:rPr>
      <w:fldChar w:fldCharType="end"/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21</w:t>
    </w:r>
    <w:r>
      <w:rPr>
        <w:sz w:val="24"/>
        <w:szCs w:val="24"/>
      </w:rPr>
      <w:fldChar w:fldCharType="end"/>
    </w:r>
    <w:r>
      <w:rPr>
        <w:sz w:val="24"/>
        <w:szCs w:val="24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22</w:t>
    </w:r>
    <w:r>
      <w:rPr>
        <w:sz w:val="24"/>
        <w:szCs w:val="24"/>
      </w:rPr>
      <w:fldChar w:fldCharType="end"/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b w:val="0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0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20" w:hanging="1440"/>
      </w:pPr>
      <w:rPr>
        <w:rFonts w:hint="default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59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59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59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59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59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59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59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59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59"/>
      </w:pPr>
      <w:rPr>
        <w:rFonts w:ascii="Wingdings" w:hAnsi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  <w:tabs>
          <w:tab w:val="num" w:pos="1440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54" w:hanging="720"/>
        <w:tabs>
          <w:tab w:val="num" w:pos="1854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59"/>
        <w:tabs>
          <w:tab w:val="left" w:pos="1789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59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59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59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59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59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59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59"/>
        <w:tabs>
          <w:tab w:val="left" w:pos="64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pStyle w:val="1032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1033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1034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i w:val="0"/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37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isLgl/>
      <w:suff w:val="tab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bullet"/>
      <w:isLgl w:val="false"/>
      <w:suff w:val="tab"/>
      <w:lvlText w:val="-"/>
      <w:lvlJc w:val="left"/>
      <w:pPr>
        <w:ind w:left="792" w:hanging="432"/>
        <w:tabs>
          <w:tab w:val="num" w:pos="792" w:leader="none"/>
        </w:tabs>
      </w:pPr>
      <w:rPr>
        <w:rFonts w:hint="default" w:ascii="Times New Roman" w:hAnsi="Times New Roman" w:eastAsia="Times New Roman" w:cs="Times New Roman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35"/>
  </w:num>
  <w:num w:numId="2">
    <w:abstractNumId w:val="6"/>
  </w:num>
  <w:num w:numId="3">
    <w:abstractNumId w:val="43"/>
  </w:num>
  <w:num w:numId="4">
    <w:abstractNumId w:val="8"/>
  </w:num>
  <w:num w:numId="5">
    <w:abstractNumId w:val="23"/>
  </w:num>
  <w:num w:numId="6">
    <w:abstractNumId w:val="21"/>
  </w:num>
  <w:num w:numId="7">
    <w:abstractNumId w:val="2"/>
  </w:num>
  <w:num w:numId="8">
    <w:abstractNumId w:val="4"/>
  </w:num>
  <w:num w:numId="9">
    <w:abstractNumId w:val="7"/>
  </w:num>
  <w:num w:numId="10">
    <w:abstractNumId w:val="37"/>
  </w:num>
  <w:num w:numId="11">
    <w:abstractNumId w:val="38"/>
  </w:num>
  <w:num w:numId="12">
    <w:abstractNumId w:val="1"/>
  </w:num>
  <w:num w:numId="13">
    <w:abstractNumId w:val="10"/>
  </w:num>
  <w:num w:numId="14">
    <w:abstractNumId w:val="0"/>
  </w:num>
  <w:num w:numId="15">
    <w:abstractNumId w:val="9"/>
  </w:num>
  <w:num w:numId="16">
    <w:abstractNumId w:val="22"/>
  </w:num>
  <w:num w:numId="17">
    <w:abstractNumId w:val="41"/>
  </w:num>
  <w:num w:numId="18">
    <w:abstractNumId w:val="12"/>
  </w:num>
  <w:num w:numId="19">
    <w:abstractNumId w:val="30"/>
  </w:num>
  <w:num w:numId="20">
    <w:abstractNumId w:val="3"/>
  </w:num>
  <w:num w:numId="21">
    <w:abstractNumId w:val="39"/>
  </w:num>
  <w:num w:numId="22">
    <w:abstractNumId w:val="25"/>
  </w:num>
  <w:num w:numId="23">
    <w:abstractNumId w:val="40"/>
  </w:num>
  <w:num w:numId="24">
    <w:abstractNumId w:val="24"/>
  </w:num>
  <w:num w:numId="25">
    <w:abstractNumId w:val="15"/>
  </w:num>
  <w:num w:numId="26">
    <w:abstractNumId w:val="19"/>
  </w:num>
  <w:num w:numId="27">
    <w:abstractNumId w:val="45"/>
  </w:num>
  <w:num w:numId="28">
    <w:abstractNumId w:val="26"/>
  </w:num>
  <w:num w:numId="29">
    <w:abstractNumId w:val="17"/>
  </w:num>
  <w:num w:numId="30">
    <w:abstractNumId w:val="14"/>
  </w:num>
  <w:num w:numId="31">
    <w:abstractNumId w:val="32"/>
  </w:num>
  <w:num w:numId="32">
    <w:abstractNumId w:val="33"/>
  </w:num>
  <w:num w:numId="33">
    <w:abstractNumId w:val="31"/>
  </w:num>
  <w:num w:numId="34">
    <w:abstractNumId w:val="29"/>
  </w:num>
  <w:num w:numId="35">
    <w:abstractNumId w:val="16"/>
  </w:num>
  <w:num w:numId="36">
    <w:abstractNumId w:val="42"/>
  </w:num>
  <w:num w:numId="37">
    <w:abstractNumId w:val="36"/>
  </w:num>
  <w:num w:numId="38">
    <w:abstractNumId w:val="20"/>
  </w:num>
  <w:num w:numId="39">
    <w:abstractNumId w:val="5"/>
  </w:num>
  <w:num w:numId="40">
    <w:abstractNumId w:val="28"/>
  </w:num>
  <w:num w:numId="41">
    <w:abstractNumId w:val="44"/>
  </w:num>
  <w:num w:numId="4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7"/>
  </w:num>
  <w:num w:numId="47">
    <w:abstractNumId w:val="34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2" w:default="1">
    <w:name w:val="Normal"/>
    <w:qFormat/>
    <w:pPr>
      <w:widowControl w:val="off"/>
    </w:pPr>
    <w:rPr>
      <w:rFonts w:ascii="Times New Roman" w:hAnsi="Times New Roman" w:eastAsia="Times New Roman"/>
    </w:rPr>
  </w:style>
  <w:style w:type="paragraph" w:styleId="813">
    <w:name w:val="Heading 1"/>
    <w:basedOn w:val="812"/>
    <w:next w:val="812"/>
    <w:link w:val="8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14">
    <w:name w:val="Heading 2"/>
    <w:basedOn w:val="812"/>
    <w:next w:val="812"/>
    <w:link w:val="1003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815">
    <w:name w:val="Heading 3"/>
    <w:basedOn w:val="812"/>
    <w:next w:val="812"/>
    <w:link w:val="8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6">
    <w:name w:val="Heading 4"/>
    <w:basedOn w:val="812"/>
    <w:next w:val="812"/>
    <w:link w:val="8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7">
    <w:name w:val="Heading 5"/>
    <w:basedOn w:val="812"/>
    <w:next w:val="812"/>
    <w:link w:val="8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8">
    <w:name w:val="Heading 6"/>
    <w:basedOn w:val="812"/>
    <w:next w:val="812"/>
    <w:link w:val="8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9">
    <w:name w:val="Heading 7"/>
    <w:basedOn w:val="812"/>
    <w:next w:val="812"/>
    <w:link w:val="8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0">
    <w:name w:val="Heading 8"/>
    <w:basedOn w:val="812"/>
    <w:next w:val="812"/>
    <w:link w:val="8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1">
    <w:name w:val="Heading 9"/>
    <w:basedOn w:val="812"/>
    <w:next w:val="812"/>
    <w:link w:val="8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2" w:default="1">
    <w:name w:val="Default Paragraph Font"/>
    <w:uiPriority w:val="1"/>
    <w:semiHidden/>
    <w:unhideWhenUsed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character" w:styleId="825" w:customStyle="1">
    <w:name w:val="Heading 1 Char"/>
    <w:basedOn w:val="822"/>
    <w:uiPriority w:val="9"/>
    <w:rPr>
      <w:rFonts w:ascii="Arial" w:hAnsi="Arial" w:eastAsia="Arial" w:cs="Arial"/>
      <w:sz w:val="40"/>
      <w:szCs w:val="40"/>
    </w:rPr>
  </w:style>
  <w:style w:type="character" w:styleId="826" w:customStyle="1">
    <w:name w:val="Heading 3 Char"/>
    <w:basedOn w:val="822"/>
    <w:uiPriority w:val="9"/>
    <w:rPr>
      <w:rFonts w:ascii="Arial" w:hAnsi="Arial" w:eastAsia="Arial" w:cs="Arial"/>
      <w:sz w:val="30"/>
      <w:szCs w:val="30"/>
    </w:rPr>
  </w:style>
  <w:style w:type="character" w:styleId="827" w:customStyle="1">
    <w:name w:val="Heading 4 Char"/>
    <w:basedOn w:val="822"/>
    <w:uiPriority w:val="9"/>
    <w:rPr>
      <w:rFonts w:ascii="Arial" w:hAnsi="Arial" w:eastAsia="Arial" w:cs="Arial"/>
      <w:b/>
      <w:bCs/>
      <w:sz w:val="26"/>
      <w:szCs w:val="26"/>
    </w:rPr>
  </w:style>
  <w:style w:type="character" w:styleId="828" w:customStyle="1">
    <w:name w:val="Heading 5 Char"/>
    <w:basedOn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829" w:customStyle="1">
    <w:name w:val="Heading 6 Char"/>
    <w:basedOn w:val="822"/>
    <w:uiPriority w:val="9"/>
    <w:rPr>
      <w:rFonts w:ascii="Arial" w:hAnsi="Arial" w:eastAsia="Arial" w:cs="Arial"/>
      <w:b/>
      <w:bCs/>
      <w:sz w:val="22"/>
      <w:szCs w:val="22"/>
    </w:rPr>
  </w:style>
  <w:style w:type="character" w:styleId="830" w:customStyle="1">
    <w:name w:val="Heading 7 Char"/>
    <w:basedOn w:val="8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1" w:customStyle="1">
    <w:name w:val="Heading 8 Char"/>
    <w:basedOn w:val="822"/>
    <w:uiPriority w:val="9"/>
    <w:rPr>
      <w:rFonts w:ascii="Arial" w:hAnsi="Arial" w:eastAsia="Arial" w:cs="Arial"/>
      <w:i/>
      <w:iCs/>
      <w:sz w:val="22"/>
      <w:szCs w:val="22"/>
    </w:rPr>
  </w:style>
  <w:style w:type="character" w:styleId="832" w:customStyle="1">
    <w:name w:val="Heading 9 Char"/>
    <w:basedOn w:val="822"/>
    <w:uiPriority w:val="9"/>
    <w:rPr>
      <w:rFonts w:ascii="Arial" w:hAnsi="Arial" w:eastAsia="Arial" w:cs="Arial"/>
      <w:i/>
      <w:iCs/>
      <w:sz w:val="21"/>
      <w:szCs w:val="21"/>
    </w:rPr>
  </w:style>
  <w:style w:type="character" w:styleId="833" w:customStyle="1">
    <w:name w:val="Subtitle Char"/>
    <w:basedOn w:val="822"/>
    <w:uiPriority w:val="11"/>
    <w:rPr>
      <w:sz w:val="24"/>
      <w:szCs w:val="24"/>
    </w:rPr>
  </w:style>
  <w:style w:type="character" w:styleId="834" w:customStyle="1">
    <w:name w:val="Quote Char"/>
    <w:uiPriority w:val="29"/>
    <w:rPr>
      <w:i/>
    </w:rPr>
  </w:style>
  <w:style w:type="character" w:styleId="835" w:customStyle="1">
    <w:name w:val="Intense Quote Char"/>
    <w:uiPriority w:val="30"/>
    <w:rPr>
      <w:i/>
    </w:rPr>
  </w:style>
  <w:style w:type="character" w:styleId="836" w:customStyle="1">
    <w:name w:val="Endnote Text Char"/>
    <w:uiPriority w:val="99"/>
    <w:rPr>
      <w:sz w:val="20"/>
    </w:rPr>
  </w:style>
  <w:style w:type="character" w:styleId="837" w:customStyle="1">
    <w:name w:val="Заголовок 1 Знак"/>
    <w:basedOn w:val="822"/>
    <w:link w:val="813"/>
    <w:uiPriority w:val="9"/>
    <w:rPr>
      <w:rFonts w:ascii="Arial" w:hAnsi="Arial" w:eastAsia="Arial" w:cs="Arial"/>
      <w:sz w:val="40"/>
      <w:szCs w:val="40"/>
    </w:rPr>
  </w:style>
  <w:style w:type="character" w:styleId="838" w:customStyle="1">
    <w:name w:val="Heading 2 Char"/>
    <w:basedOn w:val="822"/>
    <w:uiPriority w:val="9"/>
    <w:rPr>
      <w:rFonts w:ascii="Arial" w:hAnsi="Arial" w:eastAsia="Arial" w:cs="Arial"/>
      <w:sz w:val="34"/>
    </w:rPr>
  </w:style>
  <w:style w:type="character" w:styleId="839" w:customStyle="1">
    <w:name w:val="Заголовок 3 Знак"/>
    <w:basedOn w:val="822"/>
    <w:link w:val="815"/>
    <w:uiPriority w:val="9"/>
    <w:rPr>
      <w:rFonts w:ascii="Arial" w:hAnsi="Arial" w:eastAsia="Arial" w:cs="Arial"/>
      <w:sz w:val="30"/>
      <w:szCs w:val="30"/>
    </w:rPr>
  </w:style>
  <w:style w:type="character" w:styleId="840" w:customStyle="1">
    <w:name w:val="Заголовок 4 Знак"/>
    <w:basedOn w:val="822"/>
    <w:link w:val="816"/>
    <w:uiPriority w:val="9"/>
    <w:rPr>
      <w:rFonts w:ascii="Arial" w:hAnsi="Arial" w:eastAsia="Arial" w:cs="Arial"/>
      <w:b/>
      <w:bCs/>
      <w:sz w:val="26"/>
      <w:szCs w:val="26"/>
    </w:rPr>
  </w:style>
  <w:style w:type="character" w:styleId="841" w:customStyle="1">
    <w:name w:val="Заголовок 5 Знак"/>
    <w:basedOn w:val="822"/>
    <w:link w:val="817"/>
    <w:uiPriority w:val="9"/>
    <w:rPr>
      <w:rFonts w:ascii="Arial" w:hAnsi="Arial" w:eastAsia="Arial" w:cs="Arial"/>
      <w:b/>
      <w:bCs/>
      <w:sz w:val="24"/>
      <w:szCs w:val="24"/>
    </w:rPr>
  </w:style>
  <w:style w:type="character" w:styleId="842" w:customStyle="1">
    <w:name w:val="Заголовок 6 Знак"/>
    <w:basedOn w:val="822"/>
    <w:link w:val="818"/>
    <w:uiPriority w:val="9"/>
    <w:rPr>
      <w:rFonts w:ascii="Arial" w:hAnsi="Arial" w:eastAsia="Arial" w:cs="Arial"/>
      <w:b/>
      <w:bCs/>
      <w:sz w:val="22"/>
      <w:szCs w:val="22"/>
    </w:rPr>
  </w:style>
  <w:style w:type="character" w:styleId="843" w:customStyle="1">
    <w:name w:val="Заголовок 7 Знак"/>
    <w:basedOn w:val="822"/>
    <w:link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4" w:customStyle="1">
    <w:name w:val="Заголовок 8 Знак"/>
    <w:basedOn w:val="822"/>
    <w:link w:val="820"/>
    <w:uiPriority w:val="9"/>
    <w:rPr>
      <w:rFonts w:ascii="Arial" w:hAnsi="Arial" w:eastAsia="Arial" w:cs="Arial"/>
      <w:i/>
      <w:iCs/>
      <w:sz w:val="22"/>
      <w:szCs w:val="22"/>
    </w:rPr>
  </w:style>
  <w:style w:type="character" w:styleId="845" w:customStyle="1">
    <w:name w:val="Заголовок 9 Знак"/>
    <w:basedOn w:val="822"/>
    <w:link w:val="821"/>
    <w:uiPriority w:val="9"/>
    <w:rPr>
      <w:rFonts w:ascii="Arial" w:hAnsi="Arial" w:eastAsia="Arial" w:cs="Arial"/>
      <w:i/>
      <w:iCs/>
      <w:sz w:val="21"/>
      <w:szCs w:val="21"/>
    </w:rPr>
  </w:style>
  <w:style w:type="character" w:styleId="846" w:customStyle="1">
    <w:name w:val="Title Char"/>
    <w:basedOn w:val="822"/>
    <w:uiPriority w:val="10"/>
    <w:rPr>
      <w:sz w:val="48"/>
      <w:szCs w:val="48"/>
    </w:rPr>
  </w:style>
  <w:style w:type="paragraph" w:styleId="847">
    <w:name w:val="Subtitle"/>
    <w:basedOn w:val="812"/>
    <w:next w:val="812"/>
    <w:link w:val="848"/>
    <w:uiPriority w:val="11"/>
    <w:qFormat/>
    <w:pPr>
      <w:spacing w:before="200" w:after="200"/>
    </w:pPr>
    <w:rPr>
      <w:sz w:val="24"/>
      <w:szCs w:val="24"/>
    </w:rPr>
  </w:style>
  <w:style w:type="character" w:styleId="848" w:customStyle="1">
    <w:name w:val="Подзаголовок Знак"/>
    <w:basedOn w:val="822"/>
    <w:link w:val="847"/>
    <w:uiPriority w:val="11"/>
    <w:rPr>
      <w:sz w:val="24"/>
      <w:szCs w:val="24"/>
    </w:rPr>
  </w:style>
  <w:style w:type="paragraph" w:styleId="849">
    <w:name w:val="Quote"/>
    <w:basedOn w:val="812"/>
    <w:next w:val="812"/>
    <w:link w:val="850"/>
    <w:uiPriority w:val="29"/>
    <w:qFormat/>
    <w:pPr>
      <w:ind w:left="720" w:right="720"/>
    </w:pPr>
    <w:rPr>
      <w:i/>
    </w:rPr>
  </w:style>
  <w:style w:type="character" w:styleId="850" w:customStyle="1">
    <w:name w:val="Цитата 2 Знак"/>
    <w:link w:val="849"/>
    <w:uiPriority w:val="29"/>
    <w:rPr>
      <w:i/>
    </w:rPr>
  </w:style>
  <w:style w:type="paragraph" w:styleId="851">
    <w:name w:val="Intense Quote"/>
    <w:basedOn w:val="812"/>
    <w:next w:val="812"/>
    <w:link w:val="8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2" w:customStyle="1">
    <w:name w:val="Выделенная цитата Знак"/>
    <w:link w:val="851"/>
    <w:uiPriority w:val="30"/>
    <w:rPr>
      <w:i/>
    </w:rPr>
  </w:style>
  <w:style w:type="character" w:styleId="853" w:customStyle="1">
    <w:name w:val="Header Char"/>
    <w:basedOn w:val="822"/>
    <w:uiPriority w:val="99"/>
  </w:style>
  <w:style w:type="character" w:styleId="854" w:customStyle="1">
    <w:name w:val="Footer Char"/>
    <w:basedOn w:val="822"/>
    <w:uiPriority w:val="99"/>
  </w:style>
  <w:style w:type="paragraph" w:styleId="855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6" w:customStyle="1">
    <w:name w:val="Caption Char"/>
    <w:uiPriority w:val="99"/>
  </w:style>
  <w:style w:type="table" w:styleId="857" w:customStyle="1">
    <w:name w:val="Table Grid Light"/>
    <w:basedOn w:val="8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8">
    <w:name w:val="Plain Table 1"/>
    <w:basedOn w:val="8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9">
    <w:name w:val="Plain Table 2"/>
    <w:basedOn w:val="82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3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1">
    <w:name w:val="Plain Table 4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Plain Table 5"/>
    <w:basedOn w:val="8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3">
    <w:name w:val="Grid Table 1 Light"/>
    <w:basedOn w:val="82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1"/>
    <w:basedOn w:val="8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2"/>
    <w:basedOn w:val="8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3"/>
    <w:basedOn w:val="8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4"/>
    <w:basedOn w:val="8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5"/>
    <w:basedOn w:val="8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6"/>
    <w:basedOn w:val="8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2"/>
    <w:basedOn w:val="8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1"/>
    <w:basedOn w:val="8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5"/>
    <w:basedOn w:val="8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6"/>
    <w:basedOn w:val="8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3"/>
    <w:basedOn w:val="8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1"/>
    <w:basedOn w:val="8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5"/>
    <w:basedOn w:val="8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6"/>
    <w:basedOn w:val="8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4"/>
    <w:basedOn w:val="82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5" w:customStyle="1">
    <w:name w:val="Grid Table 4 - Accent 1"/>
    <w:basedOn w:val="82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6" w:customStyle="1">
    <w:name w:val="Grid Table 4 - Accent 2"/>
    <w:basedOn w:val="82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7" w:customStyle="1">
    <w:name w:val="Grid Table 4 - Accent 3"/>
    <w:basedOn w:val="82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8" w:customStyle="1">
    <w:name w:val="Grid Table 4 - Accent 4"/>
    <w:basedOn w:val="82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89" w:customStyle="1">
    <w:name w:val="Grid Table 4 - Accent 5"/>
    <w:basedOn w:val="82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90" w:customStyle="1">
    <w:name w:val="Grid Table 4 - Accent 6"/>
    <w:basedOn w:val="82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91">
    <w:name w:val="Grid Table 5 Dark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- Accent 1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2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3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- Accent 4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 - Accent 5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6"/>
    <w:basedOn w:val="8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8">
    <w:name w:val="Grid Table 6 Colorful"/>
    <w:basedOn w:val="82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9" w:customStyle="1">
    <w:name w:val="Grid Table 6 Colorful - Accent 1"/>
    <w:basedOn w:val="82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00" w:customStyle="1">
    <w:name w:val="Grid Table 6 Colorful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01" w:customStyle="1">
    <w:name w:val="Grid Table 6 Colorful - Accent 3"/>
    <w:basedOn w:val="82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02" w:customStyle="1">
    <w:name w:val="Grid Table 6 Colorful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03" w:customStyle="1">
    <w:name w:val="Grid Table 6 Colorful - Accent 5"/>
    <w:basedOn w:val="82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4" w:customStyle="1">
    <w:name w:val="Grid Table 6 Colorful - Accent 6"/>
    <w:basedOn w:val="82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5">
    <w:name w:val="Grid Table 7 Colorful"/>
    <w:basedOn w:val="82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Grid Table 7 Colorful - Accent 1"/>
    <w:basedOn w:val="82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2"/>
    <w:basedOn w:val="82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3"/>
    <w:basedOn w:val="82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Grid Table 7 Colorful - Accent 4"/>
    <w:basedOn w:val="82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Grid Table 7 Colorful - Accent 5"/>
    <w:basedOn w:val="82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Grid Table 7 Colorful - Accent 6"/>
    <w:basedOn w:val="82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>
    <w:name w:val="List Table 1 Light"/>
    <w:basedOn w:val="82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1"/>
    <w:basedOn w:val="82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2"/>
    <w:basedOn w:val="82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3"/>
    <w:basedOn w:val="82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4"/>
    <w:basedOn w:val="82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5"/>
    <w:basedOn w:val="82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6"/>
    <w:basedOn w:val="82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2"/>
    <w:basedOn w:val="82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1"/>
    <w:basedOn w:val="82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2"/>
    <w:basedOn w:val="82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3"/>
    <w:basedOn w:val="82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4"/>
    <w:basedOn w:val="82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5"/>
    <w:basedOn w:val="82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6"/>
    <w:basedOn w:val="82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6">
    <w:name w:val="List Table 3"/>
    <w:basedOn w:val="8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1"/>
    <w:basedOn w:val="82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"/>
    <w:basedOn w:val="8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1"/>
    <w:basedOn w:val="82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2"/>
    <w:basedOn w:val="82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3"/>
    <w:basedOn w:val="82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4"/>
    <w:basedOn w:val="82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5"/>
    <w:basedOn w:val="82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6"/>
    <w:basedOn w:val="82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5 Dark"/>
    <w:basedOn w:val="82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1"/>
    <w:basedOn w:val="82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>
    <w:name w:val="List Table 6 Colorful"/>
    <w:basedOn w:val="82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8" w:customStyle="1">
    <w:name w:val="List Table 6 Colorful - Accent 1"/>
    <w:basedOn w:val="82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9" w:customStyle="1">
    <w:name w:val="List Table 6 Colorful - Accent 2"/>
    <w:basedOn w:val="82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50" w:customStyle="1">
    <w:name w:val="List Table 6 Colorful - Accent 3"/>
    <w:basedOn w:val="82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51" w:customStyle="1">
    <w:name w:val="List Table 6 Colorful - Accent 4"/>
    <w:basedOn w:val="82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52" w:customStyle="1">
    <w:name w:val="List Table 6 Colorful - Accent 5"/>
    <w:basedOn w:val="82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53" w:customStyle="1">
    <w:name w:val="List Table 6 Colorful - Accent 6"/>
    <w:basedOn w:val="82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4">
    <w:name w:val="List Table 7 Colorful"/>
    <w:basedOn w:val="82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5" w:customStyle="1">
    <w:name w:val="List Table 7 Colorful - Accent 1"/>
    <w:basedOn w:val="82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2"/>
    <w:basedOn w:val="82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3"/>
    <w:basedOn w:val="82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st Table 7 Colorful - Accent 4"/>
    <w:basedOn w:val="82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9" w:customStyle="1">
    <w:name w:val="List Table 7 Colorful - Accent 5"/>
    <w:basedOn w:val="82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List Table 7 Colorful - Accent 6"/>
    <w:basedOn w:val="82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Lined - Accent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2" w:customStyle="1">
    <w:name w:val="Lined - Accent 1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3" w:customStyle="1">
    <w:name w:val="Lined - Accent 2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4" w:customStyle="1">
    <w:name w:val="Lined - Accent 3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5" w:customStyle="1">
    <w:name w:val="Lined - Accent 4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6" w:customStyle="1">
    <w:name w:val="Lined - Accent 5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7" w:customStyle="1">
    <w:name w:val="Lined - Accent 6"/>
    <w:basedOn w:val="8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8" w:customStyle="1">
    <w:name w:val="Bordered &amp; Lined - Accent"/>
    <w:basedOn w:val="82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9" w:customStyle="1">
    <w:name w:val="Bordered &amp; Lined - Accent 1"/>
    <w:basedOn w:val="82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0" w:customStyle="1">
    <w:name w:val="Bordered &amp; Lined - Accent 2"/>
    <w:basedOn w:val="82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71" w:customStyle="1">
    <w:name w:val="Bordered &amp; Lined - Accent 3"/>
    <w:basedOn w:val="82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72" w:customStyle="1">
    <w:name w:val="Bordered &amp; Lined - Accent 4"/>
    <w:basedOn w:val="82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73" w:customStyle="1">
    <w:name w:val="Bordered &amp; Lined - Accent 5"/>
    <w:basedOn w:val="82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4" w:customStyle="1">
    <w:name w:val="Bordered &amp; Lined - Accent 6"/>
    <w:basedOn w:val="82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5" w:customStyle="1">
    <w:name w:val="Bordered"/>
    <w:basedOn w:val="82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6" w:customStyle="1">
    <w:name w:val="Bordered - Accent 1"/>
    <w:basedOn w:val="8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7" w:customStyle="1">
    <w:name w:val="Bordered - Accent 2"/>
    <w:basedOn w:val="8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8" w:customStyle="1">
    <w:name w:val="Bordered - Accent 3"/>
    <w:basedOn w:val="8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79" w:customStyle="1">
    <w:name w:val="Bordered - Accent 4"/>
    <w:basedOn w:val="8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80" w:customStyle="1">
    <w:name w:val="Bordered - Accent 5"/>
    <w:basedOn w:val="8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81" w:customStyle="1">
    <w:name w:val="Bordered - Accent 6"/>
    <w:basedOn w:val="8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82" w:customStyle="1">
    <w:name w:val="Footnote Text Char"/>
    <w:uiPriority w:val="99"/>
    <w:rPr>
      <w:sz w:val="18"/>
    </w:rPr>
  </w:style>
  <w:style w:type="paragraph" w:styleId="983">
    <w:name w:val="endnote text"/>
    <w:basedOn w:val="812"/>
    <w:link w:val="984"/>
    <w:uiPriority w:val="99"/>
    <w:semiHidden/>
    <w:unhideWhenUsed/>
  </w:style>
  <w:style w:type="character" w:styleId="984" w:customStyle="1">
    <w:name w:val="Текст концевой сноски Знак"/>
    <w:link w:val="983"/>
    <w:uiPriority w:val="99"/>
    <w:rPr>
      <w:sz w:val="20"/>
    </w:rPr>
  </w:style>
  <w:style w:type="character" w:styleId="985">
    <w:name w:val="endnote reference"/>
    <w:basedOn w:val="822"/>
    <w:uiPriority w:val="99"/>
    <w:semiHidden/>
    <w:unhideWhenUsed/>
    <w:rPr>
      <w:vertAlign w:val="superscript"/>
    </w:rPr>
  </w:style>
  <w:style w:type="paragraph" w:styleId="986">
    <w:name w:val="toc 1"/>
    <w:basedOn w:val="812"/>
    <w:next w:val="812"/>
    <w:uiPriority w:val="39"/>
    <w:unhideWhenUsed/>
    <w:pPr>
      <w:spacing w:after="57"/>
    </w:pPr>
  </w:style>
  <w:style w:type="paragraph" w:styleId="987">
    <w:name w:val="toc 2"/>
    <w:basedOn w:val="812"/>
    <w:next w:val="812"/>
    <w:uiPriority w:val="39"/>
    <w:unhideWhenUsed/>
    <w:pPr>
      <w:ind w:left="283"/>
      <w:spacing w:after="57"/>
    </w:pPr>
  </w:style>
  <w:style w:type="paragraph" w:styleId="988">
    <w:name w:val="toc 3"/>
    <w:basedOn w:val="812"/>
    <w:next w:val="812"/>
    <w:uiPriority w:val="39"/>
    <w:unhideWhenUsed/>
    <w:pPr>
      <w:ind w:left="567"/>
      <w:spacing w:after="57"/>
    </w:pPr>
  </w:style>
  <w:style w:type="paragraph" w:styleId="989">
    <w:name w:val="toc 4"/>
    <w:basedOn w:val="812"/>
    <w:next w:val="812"/>
    <w:uiPriority w:val="39"/>
    <w:unhideWhenUsed/>
    <w:pPr>
      <w:ind w:left="850"/>
      <w:spacing w:after="57"/>
    </w:pPr>
  </w:style>
  <w:style w:type="paragraph" w:styleId="990">
    <w:name w:val="toc 5"/>
    <w:basedOn w:val="812"/>
    <w:next w:val="812"/>
    <w:uiPriority w:val="39"/>
    <w:unhideWhenUsed/>
    <w:pPr>
      <w:ind w:left="1134"/>
      <w:spacing w:after="57"/>
    </w:pPr>
  </w:style>
  <w:style w:type="paragraph" w:styleId="991">
    <w:name w:val="toc 6"/>
    <w:basedOn w:val="812"/>
    <w:next w:val="812"/>
    <w:uiPriority w:val="39"/>
    <w:unhideWhenUsed/>
    <w:pPr>
      <w:ind w:left="1417"/>
      <w:spacing w:after="57"/>
    </w:pPr>
  </w:style>
  <w:style w:type="paragraph" w:styleId="992">
    <w:name w:val="toc 7"/>
    <w:basedOn w:val="812"/>
    <w:next w:val="812"/>
    <w:uiPriority w:val="39"/>
    <w:unhideWhenUsed/>
    <w:pPr>
      <w:ind w:left="1701"/>
      <w:spacing w:after="57"/>
    </w:pPr>
  </w:style>
  <w:style w:type="paragraph" w:styleId="993">
    <w:name w:val="toc 8"/>
    <w:basedOn w:val="812"/>
    <w:next w:val="812"/>
    <w:uiPriority w:val="39"/>
    <w:unhideWhenUsed/>
    <w:pPr>
      <w:ind w:left="1984"/>
      <w:spacing w:after="57"/>
    </w:pPr>
  </w:style>
  <w:style w:type="paragraph" w:styleId="994">
    <w:name w:val="toc 9"/>
    <w:basedOn w:val="812"/>
    <w:next w:val="812"/>
    <w:uiPriority w:val="39"/>
    <w:unhideWhenUsed/>
    <w:pPr>
      <w:ind w:left="2268"/>
      <w:spacing w:after="57"/>
    </w:pPr>
  </w:style>
  <w:style w:type="paragraph" w:styleId="995">
    <w:name w:val="TOC Heading"/>
    <w:uiPriority w:val="39"/>
    <w:unhideWhenUsed/>
  </w:style>
  <w:style w:type="paragraph" w:styleId="996">
    <w:name w:val="table of figures"/>
    <w:basedOn w:val="812"/>
    <w:next w:val="812"/>
    <w:uiPriority w:val="99"/>
    <w:unhideWhenUsed/>
  </w:style>
  <w:style w:type="paragraph" w:styleId="997">
    <w:name w:val="Title"/>
    <w:basedOn w:val="812"/>
    <w:link w:val="998"/>
    <w:qFormat/>
    <w:pPr>
      <w:jc w:val="center"/>
    </w:pPr>
    <w:rPr>
      <w:b/>
      <w:bCs/>
      <w:sz w:val="24"/>
      <w:szCs w:val="24"/>
    </w:rPr>
  </w:style>
  <w:style w:type="character" w:styleId="998" w:customStyle="1">
    <w:name w:val="Заголовок Знак"/>
    <w:link w:val="99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99">
    <w:name w:val="Normal Indent"/>
    <w:basedOn w:val="812"/>
    <w:pPr>
      <w:ind w:left="720"/>
      <w:widowControl/>
    </w:pPr>
    <w:rPr>
      <w:lang w:val="en-US"/>
    </w:rPr>
  </w:style>
  <w:style w:type="paragraph" w:styleId="1000">
    <w:name w:val="List Paragraph"/>
    <w:basedOn w:val="812"/>
    <w:link w:val="1006"/>
    <w:uiPriority w:val="34"/>
    <w:qFormat/>
    <w:pPr>
      <w:contextualSpacing/>
      <w:ind w:left="720"/>
    </w:pPr>
  </w:style>
  <w:style w:type="character" w:styleId="1001" w:customStyle="1">
    <w:name w:val="Основной текст_"/>
    <w:link w:val="1002"/>
    <w:rPr>
      <w:rFonts w:ascii="Times New Roman" w:hAnsi="Times New Roman" w:eastAsia="Times New Roman" w:cs="Times New Roman"/>
      <w:shd w:val="clear" w:color="auto" w:fill="ffffff"/>
    </w:rPr>
  </w:style>
  <w:style w:type="paragraph" w:styleId="1002" w:customStyle="1">
    <w:name w:val="Основной текст3"/>
    <w:basedOn w:val="812"/>
    <w:link w:val="1001"/>
    <w:pPr>
      <w:ind w:hanging="640"/>
      <w:jc w:val="both"/>
      <w:spacing w:line="293" w:lineRule="exact"/>
      <w:shd w:val="clear" w:color="auto" w:fill="ffffff"/>
    </w:pPr>
  </w:style>
  <w:style w:type="character" w:styleId="1003" w:customStyle="1">
    <w:name w:val="Заголовок 2 Знак"/>
    <w:link w:val="814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004">
    <w:name w:val="Body Text"/>
    <w:basedOn w:val="812"/>
    <w:link w:val="1005"/>
    <w:pPr>
      <w:widowControl/>
    </w:pPr>
    <w:rPr>
      <w:rFonts w:ascii="Verdana" w:hAnsi="Verdana" w:eastAsia="SimSun"/>
      <w:sz w:val="18"/>
      <w:szCs w:val="18"/>
    </w:rPr>
  </w:style>
  <w:style w:type="character" w:styleId="1005" w:customStyle="1">
    <w:name w:val="Основной текст Знак"/>
    <w:link w:val="1004"/>
    <w:rPr>
      <w:rFonts w:ascii="Verdana" w:hAnsi="Verdana" w:eastAsia="SimSun" w:cs="Verdana"/>
      <w:sz w:val="18"/>
      <w:szCs w:val="18"/>
      <w:lang w:eastAsia="ru-RU"/>
    </w:rPr>
  </w:style>
  <w:style w:type="character" w:styleId="1006" w:customStyle="1">
    <w:name w:val="Абзац списка Знак"/>
    <w:link w:val="1000"/>
    <w:uiPriority w:val="34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07" w:customStyle="1">
    <w:name w:val="ConsPlusNormal"/>
    <w:pPr>
      <w:ind w:firstLine="720"/>
    </w:pPr>
    <w:rPr>
      <w:rFonts w:ascii="Arial" w:hAnsi="Arial" w:eastAsia="Times New Roman" w:cs="Arial"/>
    </w:rPr>
  </w:style>
  <w:style w:type="paragraph" w:styleId="1008" w:customStyle="1">
    <w:name w:val="Таблицы (моноширинный)"/>
    <w:basedOn w:val="812"/>
    <w:next w:val="812"/>
    <w:pPr>
      <w:jc w:val="both"/>
    </w:pPr>
    <w:rPr>
      <w:rFonts w:ascii="Courier New" w:hAnsi="Courier New" w:cs="Courier New"/>
    </w:rPr>
  </w:style>
  <w:style w:type="paragraph" w:styleId="1009">
    <w:name w:val="Balloon Text"/>
    <w:basedOn w:val="812"/>
    <w:link w:val="1010"/>
    <w:uiPriority w:val="99"/>
    <w:semiHidden/>
    <w:unhideWhenUsed/>
    <w:rPr>
      <w:rFonts w:ascii="Tahoma" w:hAnsi="Tahoma"/>
      <w:sz w:val="16"/>
      <w:szCs w:val="16"/>
    </w:rPr>
  </w:style>
  <w:style w:type="character" w:styleId="1010" w:customStyle="1">
    <w:name w:val="Текст выноски Знак"/>
    <w:link w:val="100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011" w:customStyle="1">
    <w:name w:val="wT6"/>
  </w:style>
  <w:style w:type="paragraph" w:styleId="1012">
    <w:name w:val="Header"/>
    <w:basedOn w:val="812"/>
    <w:link w:val="101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13" w:customStyle="1">
    <w:name w:val="Верхний колонтитул Знак"/>
    <w:link w:val="101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14">
    <w:name w:val="Footer"/>
    <w:basedOn w:val="812"/>
    <w:link w:val="10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15" w:customStyle="1">
    <w:name w:val="Нижний колонтитул Знак"/>
    <w:link w:val="101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16">
    <w:name w:val="annotation reference"/>
    <w:uiPriority w:val="99"/>
    <w:semiHidden/>
    <w:unhideWhenUsed/>
    <w:rPr>
      <w:sz w:val="16"/>
      <w:szCs w:val="16"/>
    </w:rPr>
  </w:style>
  <w:style w:type="paragraph" w:styleId="1017">
    <w:name w:val="annotation text"/>
    <w:basedOn w:val="812"/>
    <w:link w:val="1018"/>
    <w:uiPriority w:val="99"/>
    <w:semiHidden/>
    <w:unhideWhenUsed/>
  </w:style>
  <w:style w:type="character" w:styleId="1018" w:customStyle="1">
    <w:name w:val="Текст примечания Знак"/>
    <w:link w:val="101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19">
    <w:name w:val="annotation subject"/>
    <w:basedOn w:val="1017"/>
    <w:next w:val="1017"/>
    <w:link w:val="1020"/>
    <w:uiPriority w:val="99"/>
    <w:semiHidden/>
    <w:unhideWhenUsed/>
    <w:rPr>
      <w:b/>
      <w:bCs/>
    </w:rPr>
  </w:style>
  <w:style w:type="character" w:styleId="1020" w:customStyle="1">
    <w:name w:val="Тема примечания Знак"/>
    <w:link w:val="101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021">
    <w:name w:val="Table Grid"/>
    <w:basedOn w:val="82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22" w:customStyle="1">
    <w:name w:val="a"/>
    <w:basedOn w:val="81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23" w:customStyle="1">
    <w:name w:val="a0"/>
    <w:basedOn w:val="81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24">
    <w:name w:val="Body Text Indent"/>
    <w:basedOn w:val="812"/>
    <w:link w:val="1025"/>
    <w:uiPriority w:val="99"/>
    <w:unhideWhenUsed/>
    <w:pPr>
      <w:ind w:left="283"/>
      <w:spacing w:after="120"/>
    </w:pPr>
  </w:style>
  <w:style w:type="character" w:styleId="1025" w:customStyle="1">
    <w:name w:val="Основной текст с отступом Знак"/>
    <w:link w:val="102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26" w:customStyle="1">
    <w:name w:val="Основной текст1"/>
    <w:basedOn w:val="100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shd w:val="clear" w:color="auto" w:fill="ffffff"/>
      <w:lang w:val="ru-RU"/>
    </w:rPr>
  </w:style>
  <w:style w:type="paragraph" w:styleId="1027" w:customStyle="1">
    <w:name w:val="Iau?iue"/>
    <w:pPr>
      <w:spacing w:before="80" w:after="80"/>
      <w:widowControl w:val="off"/>
    </w:pPr>
    <w:rPr>
      <w:rFonts w:ascii="Times New Roman" w:hAnsi="Times New Roman" w:eastAsia="Times New Roman"/>
      <w:sz w:val="22"/>
      <w:lang w:eastAsia="en-US"/>
    </w:rPr>
  </w:style>
  <w:style w:type="character" w:styleId="1028">
    <w:name w:val="footnote reference"/>
    <w:basedOn w:val="822"/>
    <w:uiPriority w:val="99"/>
    <w:rPr>
      <w:rFonts w:cs="Times New Roman"/>
      <w:vertAlign w:val="superscript"/>
    </w:rPr>
  </w:style>
  <w:style w:type="paragraph" w:styleId="1029">
    <w:name w:val="footnote text"/>
    <w:basedOn w:val="812"/>
    <w:link w:val="1030"/>
    <w:uiPriority w:val="99"/>
    <w:pPr>
      <w:jc w:val="both"/>
      <w:spacing w:before="120" w:after="120"/>
      <w:widowControl/>
    </w:pPr>
    <w:rPr>
      <w:rFonts w:ascii="Calibri" w:hAnsi="Calibri" w:cs="Calibri"/>
    </w:rPr>
  </w:style>
  <w:style w:type="character" w:styleId="1030" w:customStyle="1">
    <w:name w:val="Текст сноски Знак"/>
    <w:basedOn w:val="822"/>
    <w:link w:val="1029"/>
    <w:uiPriority w:val="99"/>
    <w:rPr>
      <w:rFonts w:eastAsia="Times New Roman" w:cs="Calibri"/>
    </w:rPr>
  </w:style>
  <w:style w:type="character" w:styleId="1031">
    <w:name w:val="Hyperlink"/>
    <w:basedOn w:val="822"/>
    <w:uiPriority w:val="99"/>
    <w:unhideWhenUsed/>
    <w:rPr>
      <w:color w:val="0000ff" w:themeColor="hyperlink"/>
      <w:u w:val="single"/>
    </w:rPr>
  </w:style>
  <w:style w:type="paragraph" w:styleId="1032" w:customStyle="1">
    <w:name w:val="ПрилТекст1"/>
    <w:basedOn w:val="812"/>
    <w:pPr>
      <w:numPr>
        <w:ilvl w:val="0"/>
        <w:numId w:val="32"/>
      </w:numPr>
      <w:jc w:val="both"/>
      <w:spacing w:before="60"/>
      <w:widowControl/>
    </w:pPr>
    <w:rPr>
      <w:sz w:val="26"/>
    </w:rPr>
  </w:style>
  <w:style w:type="paragraph" w:styleId="1033" w:customStyle="1">
    <w:name w:val="ПрилТекст2"/>
    <w:basedOn w:val="812"/>
    <w:pPr>
      <w:numPr>
        <w:ilvl w:val="1"/>
        <w:numId w:val="32"/>
      </w:numPr>
      <w:jc w:val="both"/>
      <w:spacing w:before="60"/>
      <w:widowControl/>
    </w:pPr>
    <w:rPr>
      <w:sz w:val="26"/>
    </w:rPr>
  </w:style>
  <w:style w:type="paragraph" w:styleId="1034" w:customStyle="1">
    <w:name w:val="ПрилТекст3"/>
    <w:basedOn w:val="812"/>
    <w:pPr>
      <w:numPr>
        <w:ilvl w:val="2"/>
        <w:numId w:val="32"/>
      </w:numPr>
      <w:jc w:val="both"/>
      <w:spacing w:before="60"/>
      <w:widowControl/>
    </w:pPr>
    <w:rPr>
      <w:sz w:val="26"/>
    </w:rPr>
  </w:style>
  <w:style w:type="paragraph" w:styleId="1035">
    <w:name w:val="No Spacing"/>
    <w:link w:val="1037"/>
    <w:uiPriority w:val="1"/>
    <w:qFormat/>
    <w:pPr>
      <w:widowControl w:val="off"/>
    </w:pPr>
    <w:rPr>
      <w:rFonts w:ascii="Times New Roman" w:hAnsi="Times New Roman" w:eastAsia="Times New Roman"/>
      <w:sz w:val="24"/>
      <w:szCs w:val="24"/>
    </w:rPr>
  </w:style>
  <w:style w:type="character" w:styleId="1036" w:customStyle="1">
    <w:name w:val="Font Style21"/>
    <w:basedOn w:val="822"/>
    <w:uiPriority w:val="99"/>
    <w:rPr>
      <w:rFonts w:ascii="Arial" w:hAnsi="Arial" w:cs="Arial"/>
      <w:sz w:val="16"/>
      <w:szCs w:val="16"/>
    </w:rPr>
  </w:style>
  <w:style w:type="character" w:styleId="1037" w:customStyle="1">
    <w:name w:val="Без интервала Знак"/>
    <w:basedOn w:val="822"/>
    <w:link w:val="1035"/>
    <w:uiPriority w:val="1"/>
    <w:rPr>
      <w:rFonts w:ascii="Times New Roman" w:hAnsi="Times New Roman" w:eastAsia="Times New Roman"/>
      <w:sz w:val="24"/>
      <w:szCs w:val="24"/>
    </w:rPr>
  </w:style>
  <w:style w:type="paragraph" w:styleId="1038">
    <w:name w:val="Normal (Web)"/>
    <w:basedOn w:val="812"/>
    <w:uiPriority w:val="99"/>
    <w:semiHidden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1039" w:customStyle="1">
    <w:name w:val="docdata"/>
    <w:basedOn w:val="822"/>
  </w:style>
  <w:style w:type="paragraph" w:styleId="1040" w:customStyle="1">
    <w:name w:val="2306"/>
    <w:basedOn w:val="81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41" w:customStyle="1">
    <w:name w:val="2255"/>
    <w:basedOn w:val="812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42" w:customStyle="1">
    <w:name w:val="no1"/>
    <w:basedOn w:val="81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043" w:customStyle="1">
    <w:name w:val="no2"/>
    <w:basedOn w:val="81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044" w:customStyle="1">
    <w:name w:val="no4"/>
    <w:basedOn w:val="81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045" w:customStyle="1">
    <w:name w:val="Body 2 Char"/>
    <w:link w:val="1046"/>
    <w:rPr>
      <w:rFonts w:ascii="Arial" w:hAnsi="Arial" w:eastAsia="Arial Unicode MS" w:cs="Arial"/>
      <w:sz w:val="21"/>
      <w:szCs w:val="21"/>
      <w:lang w:val="en-GB" w:eastAsia="en-GB"/>
    </w:rPr>
  </w:style>
  <w:style w:type="paragraph" w:styleId="1046" w:customStyle="1">
    <w:name w:val="Body 2"/>
    <w:basedOn w:val="812"/>
    <w:link w:val="1045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047" w:customStyle="1">
    <w:name w:val="Margin Text Char"/>
    <w:link w:val="1048"/>
  </w:style>
  <w:style w:type="paragraph" w:styleId="1048" w:customStyle="1">
    <w:name w:val="Margin Text"/>
    <w:basedOn w:val="1004"/>
    <w:link w:val="1047"/>
    <w:pPr>
      <w:jc w:val="both"/>
      <w:spacing w:after="240" w:line="360" w:lineRule="auto"/>
    </w:pPr>
    <w:rPr>
      <w:rFonts w:ascii="Calibri" w:hAnsi="Calibri" w:eastAsia="Calibri"/>
      <w:sz w:val="20"/>
      <w:szCs w:val="20"/>
    </w:rPr>
  </w:style>
  <w:style w:type="character" w:styleId="1049" w:customStyle="1">
    <w:name w:val="Основной текст + 8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mailto:hotline@interrao.ru" TargetMode="External"/><Relationship Id="rId14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5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6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7" Type="http://schemas.openxmlformats.org/officeDocument/2006/relationships/hyperlink" Target="consultantplus://offline/ref=84B353EEECAB097A37A33B44A0EC1716C9089464399ACA780492DE9AD707E277074E3BA5143D7B52AFC3F4EF7C363547B063BC91D0332B36fF12I" TargetMode="External"/><Relationship Id="rId18" Type="http://schemas.openxmlformats.org/officeDocument/2006/relationships/hyperlink" Target="mailto:vanke_sv@ensb.toms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AEE70-9633-4FC8-86C2-1D82B180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CtrlSoft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Харлова Екатерина Владимировна</dc:creator>
  <cp:revision>4</cp:revision>
  <dcterms:created xsi:type="dcterms:W3CDTF">2024-02-05T05:18:00Z</dcterms:created>
  <dcterms:modified xsi:type="dcterms:W3CDTF">2024-02-06T03:40:14Z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Bolshanina_AO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