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A26" w:rsidRDefault="00D80680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EB5A26" w:rsidRDefault="00D80680">
      <w:pPr>
        <w:tabs>
          <w:tab w:val="left" w:pos="567"/>
        </w:tabs>
        <w:jc w:val="center"/>
      </w:pPr>
      <w:r>
        <w:t>П</w:t>
      </w:r>
      <w:r>
        <w:t>рограммное</w:t>
      </w:r>
      <w:r>
        <w:t xml:space="preserve"> обеспечение</w:t>
      </w:r>
      <w:r>
        <w:t xml:space="preserve"> для управления процессами корпоративной печати</w:t>
      </w:r>
    </w:p>
    <w:p w:rsidR="00EB5A26" w:rsidRDefault="00EB5A26">
      <w:pPr>
        <w:tabs>
          <w:tab w:val="left" w:pos="567"/>
        </w:tabs>
        <w:jc w:val="both"/>
        <w:rPr>
          <w:rFonts w:eastAsiaTheme="minorEastAsia"/>
          <w:b/>
        </w:rPr>
      </w:pPr>
    </w:p>
    <w:p w:rsidR="00EB5A26" w:rsidRDefault="00D80680">
      <w:pPr>
        <w:pStyle w:val="af2"/>
        <w:numPr>
          <w:ilvl w:val="0"/>
          <w:numId w:val="24"/>
        </w:numPr>
        <w:tabs>
          <w:tab w:val="left" w:pos="567"/>
        </w:tabs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:rsidR="00EB5A26" w:rsidRDefault="00D80680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товаров.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</w:t>
      </w:r>
      <w:r>
        <w:rPr>
          <w:rFonts w:ascii="Times New Roman" w:eastAsiaTheme="minorEastAsia" w:hAnsi="Times New Roman" w:cs="Times New Roman"/>
          <w:sz w:val="24"/>
          <w:szCs w:val="24"/>
        </w:rPr>
        <w:t>программного обеспечения для управления процессами корпоративной печати (далее – товар) в соответствии со Спецификацией (Приложение №1 к Техническому заданию) (далее по тексту – Спецификация).</w:t>
      </w:r>
    </w:p>
    <w:p w:rsidR="00EB5A26" w:rsidRDefault="00D80680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товаров.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товара – с момента закл</w:t>
      </w:r>
      <w:r>
        <w:rPr>
          <w:rFonts w:ascii="Times New Roman" w:eastAsiaTheme="minorEastAsia" w:hAnsi="Times New Roman" w:cs="Times New Roman"/>
          <w:sz w:val="24"/>
          <w:szCs w:val="24"/>
        </w:rPr>
        <w:t>ючения договора.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Срок окончания поставки – 06.2024г. 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должен обеспечить поставку закупаемого товара, указанного в Спецификации, в полном объеме. Поставка частями не допускается.</w:t>
      </w:r>
    </w:p>
    <w:p w:rsidR="00EB5A26" w:rsidRDefault="00D80680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эквивалентного товара.</w:t>
      </w:r>
    </w:p>
    <w:p w:rsidR="00EB5A26" w:rsidRDefault="00D80680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Применение эквивалента в</w:t>
      </w:r>
      <w:r>
        <w:rPr>
          <w:rFonts w:eastAsiaTheme="minorEastAsia"/>
        </w:rPr>
        <w:t>озможно при условии соответствия товара функциональным, техническим характеристикам и условиям применения, указанным в настоящем техническом задании, а также при предоставлении участником закупки развернутого сравнения по функциональным, техническим характ</w:t>
      </w:r>
      <w:r>
        <w:rPr>
          <w:rFonts w:eastAsiaTheme="minorEastAsia"/>
        </w:rPr>
        <w:t xml:space="preserve">еристикам и условиям применения. При этом поставляемый товар должен соответствовать требованиям, установленным </w:t>
      </w:r>
      <w:r>
        <w:t>Указом Президента Российской Федерации от 30.03.2022 № 166, а именно программное обеспечение, соответствующее поставляемому товару, должно быть в</w:t>
      </w:r>
      <w:r>
        <w:t>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</w:t>
      </w:r>
      <w:r>
        <w:t xml:space="preserve"> Федерации.</w:t>
      </w:r>
    </w:p>
    <w:p w:rsidR="00EB5A26" w:rsidRDefault="00EB5A26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5A26" w:rsidRDefault="00D80680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EB5A26" w:rsidRDefault="00D80680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товара.</w:t>
      </w:r>
    </w:p>
    <w:p w:rsidR="00EB5A26" w:rsidRPr="00D80680" w:rsidRDefault="00D80680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Приобретение лицензий системы печати Смарт Принт необходимо для обеспечения бесперебойного учета статистики печати, а также мониторинга устройств печати аппаратов «Катюша» в </w:t>
      </w:r>
      <w:r>
        <w:rPr>
          <w:rFonts w:eastAsiaTheme="minorEastAsia"/>
        </w:rPr>
        <w:t>АО «</w:t>
      </w:r>
      <w:proofErr w:type="spellStart"/>
      <w:r>
        <w:rPr>
          <w:rFonts w:eastAsiaTheme="minorEastAsia"/>
        </w:rPr>
        <w:t>Томскэнергосбыт</w:t>
      </w:r>
      <w:proofErr w:type="spellEnd"/>
      <w:r>
        <w:rPr>
          <w:rFonts w:eastAsiaTheme="minorEastAsia"/>
        </w:rPr>
        <w:t>».</w:t>
      </w:r>
    </w:p>
    <w:p w:rsidR="00EB5A26" w:rsidRDefault="00D80680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товару.</w:t>
      </w:r>
    </w:p>
    <w:p w:rsidR="00EB5A26" w:rsidRDefault="00D80680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Покупателю предоставляются неисключительные права на использование программного обеспечения (ПО), входящего в состав товара, в том числе право осуществлять любые действия, связанные с функционированием программно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го обеспечения в соответствии с его назначением на бессрочный период времени. </w:t>
      </w:r>
    </w:p>
    <w:p w:rsidR="00EB5A26" w:rsidRDefault="00D80680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обеспечение, входящего в состав товара, должно обладать следующими функциональными характеристиками:</w:t>
      </w:r>
    </w:p>
    <w:p w:rsidR="00EB5A26" w:rsidRDefault="00D80680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 должно поддерживать работу в сетях любой конфигурации и сложности;</w:t>
      </w:r>
    </w:p>
    <w:p w:rsidR="00EB5A26" w:rsidRDefault="00D80680">
      <w:pPr>
        <w:pStyle w:val="af2"/>
        <w:tabs>
          <w:tab w:val="left" w:pos="567"/>
          <w:tab w:val="left" w:pos="993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в соответствии с приказом от 18.01.2023 №21 «Об утверждении методических рекомендаций по переходу на использование российского программного обеспечения, в том числ</w:t>
      </w:r>
      <w:r>
        <w:rPr>
          <w:rFonts w:ascii="Times New Roman" w:eastAsiaTheme="minorEastAsia" w:hAnsi="Times New Roman" w:cs="Times New Roman"/>
          <w:sz w:val="24"/>
          <w:szCs w:val="24"/>
        </w:rPr>
        <w:t>е на значимых объектах критической информационной инфраструктуры российской федерации, и о реализации мер, направленных на ускоренный переход органов государственной власти и организаций на использование российского программного обеспечения в российской фе</w:t>
      </w:r>
      <w:r>
        <w:rPr>
          <w:rFonts w:ascii="Times New Roman" w:eastAsiaTheme="minorEastAsia" w:hAnsi="Times New Roman" w:cs="Times New Roman"/>
          <w:sz w:val="24"/>
          <w:szCs w:val="24"/>
        </w:rPr>
        <w:t>дерации» в целях импортозамещения должен использоваться товар, указанный в Спецификации, который находится в Едином реестре отечественного программного обеспечения и баз данных.</w:t>
      </w:r>
    </w:p>
    <w:p w:rsidR="00EB5A26" w:rsidRDefault="00D80680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соответствии товаров обязательным требованиям законодательства 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техническом регулировании.</w:t>
      </w:r>
    </w:p>
    <w:p w:rsidR="00EB5A26" w:rsidRDefault="00D80680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B5A26" w:rsidRDefault="00D80680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добровольной сертификации товаров.</w:t>
      </w:r>
    </w:p>
    <w:p w:rsidR="00EB5A26" w:rsidRDefault="00D80680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B5A26" w:rsidRDefault="00D80680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 Требования к гарантийному сроку и (или) объёму предоставления гарантий качества на поставляемый товар.</w:t>
      </w:r>
    </w:p>
    <w:p w:rsidR="00EB5A26" w:rsidRDefault="00D80680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гарантирует качество поставляемого То</w:t>
      </w:r>
      <w:r>
        <w:rPr>
          <w:rFonts w:ascii="Times New Roman" w:eastAsiaTheme="minorEastAsia" w:hAnsi="Times New Roman" w:cs="Times New Roman"/>
          <w:sz w:val="24"/>
          <w:szCs w:val="24"/>
        </w:rPr>
        <w:t>вара в течение 12 (двенадцати) месяцев с даты подписания Договора (гарантия на сертификаты не распространяется).</w:t>
      </w:r>
    </w:p>
    <w:p w:rsidR="00EB5A26" w:rsidRDefault="00D80680">
      <w:pPr>
        <w:pStyle w:val="af2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</w:pPr>
      <w:r>
        <w:rPr>
          <w:rFonts w:ascii="Times New Roman" w:eastAsiaTheme="minorEastAsia" w:hAnsi="Times New Roman" w:cs="Times New Roman"/>
          <w:sz w:val="24"/>
          <w:szCs w:val="24"/>
        </w:rPr>
        <w:t>Гарантия не распространяется на дефекты и поломки, вызванные ненадлежащей эксплуатацией Товара, или использованием его не по назначению.</w:t>
      </w:r>
    </w:p>
    <w:p w:rsidR="00EB5A26" w:rsidRDefault="00D80680">
      <w:pPr>
        <w:pStyle w:val="af2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Все расходы, связанные с ремонтом, вышедшего из строя Товара в течение гарантийного срока эксплуатации, несет Поставщик, кроме случаев, перечисленных в п.5.1.1. Договора.</w:t>
      </w:r>
    </w:p>
    <w:p w:rsidR="00EB5A26" w:rsidRDefault="00D80680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по осуществлению сопутствующих работ при поставке товаров.</w:t>
      </w:r>
    </w:p>
    <w:p w:rsidR="00EB5A26" w:rsidRDefault="00D80680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B5A26" w:rsidRDefault="00D80680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EB5A26" w:rsidRDefault="00D80680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отгрузке и доставке приобретаемых товаров.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Покупателя и разгрузка должна осуществляться силами Поставщика. Затраты на погрузочно-разгрузочные работы и доставку т</w:t>
      </w:r>
      <w:r>
        <w:rPr>
          <w:rFonts w:ascii="Times New Roman" w:eastAsiaTheme="minorEastAsia" w:hAnsi="Times New Roman" w:cs="Times New Roman"/>
          <w:sz w:val="24"/>
          <w:szCs w:val="24"/>
        </w:rPr>
        <w:t>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быть осуществлена до склада Сублицензиата, находящегося по адресу: 634034, г. Томск, ул. Котовского, д.19,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303. Доставка осуществляются в рабочие дни, с 8:00 до 12:00 и с 13:00 до 17:00.</w:t>
      </w:r>
    </w:p>
    <w:p w:rsidR="00EB5A26" w:rsidRDefault="00D80680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таре и упаковке приобретаемых товаров.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Тара и упаковка должны обеспечивать полную сохранность товаров от повреждений и порчи при транспортировке и хранении.</w:t>
      </w:r>
    </w:p>
    <w:p w:rsidR="00EB5A26" w:rsidRDefault="00D80680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приемке товаров.</w:t>
      </w:r>
    </w:p>
    <w:p w:rsidR="00EB5A26" w:rsidRDefault="00D80680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Поставщик обязан предоставить Покупателю права использования ПО в дату подписания Акта-приема передачи прав</w:t>
      </w:r>
      <w:r>
        <w:rPr>
          <w:rFonts w:eastAsiaTheme="minorEastAsia"/>
          <w:lang w:eastAsia="en-US"/>
        </w:rPr>
        <w:t xml:space="preserve"> использования ПО.</w:t>
      </w:r>
    </w:p>
    <w:p w:rsidR="00EB5A26" w:rsidRDefault="00D80680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Права использования ПО предоставляются Поставщиком Покупателю одновременно с передачей ПО в электронном виде. Права использования ПО считаются предоставленными Покупателю с момента подписания Сторонами соответствующего Акта приема-переда</w:t>
      </w:r>
      <w:r>
        <w:rPr>
          <w:rFonts w:eastAsiaTheme="minorEastAsia"/>
          <w:lang w:eastAsia="en-US"/>
        </w:rPr>
        <w:t xml:space="preserve">чи прав использования ПО. </w:t>
      </w:r>
    </w:p>
    <w:p w:rsidR="00EB5A26" w:rsidRDefault="00D80680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>Оригиналы документов, подтверждающих факт предоставления прав использования ПО (подписанные Поставщиком Акты приема-передачи прав использования ПО), должны быть направлены Покупателю одновременно с предоставлением прав использова</w:t>
      </w:r>
      <w:r>
        <w:t>ния ПО.</w:t>
      </w:r>
    </w:p>
    <w:p w:rsidR="00EB5A26" w:rsidRDefault="00D80680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>Документы, подтверждающие факт предоставления прав использования ПО,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</w:t>
      </w:r>
      <w:r>
        <w:t>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</w:t>
      </w:r>
      <w:r>
        <w:t>дусмотренной в пункте 7.6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 копий документов. В тако</w:t>
      </w:r>
      <w:r>
        <w:t>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</w:t>
      </w:r>
      <w:r>
        <w:t>х документах и представить копии таких исправленных документов Покупателю, что не освобождает Поставщика от ответственности, предусмотренной пунктом 7.6 Договора.</w:t>
      </w:r>
    </w:p>
    <w:p w:rsidR="00EB5A26" w:rsidRDefault="00D80680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>В течение 10 (десяти) календарных дней с даты получения подписанных со стороны Поставщика ори</w:t>
      </w:r>
      <w:r>
        <w:t>гиналов акта сдачи-приемки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</w:t>
      </w:r>
      <w:r>
        <w:t>роцессе приемки, а также с требованием об устранении Поставщиком указанных дефектов и неточностей в приемлемой для Покупателя форме и сроки.</w:t>
      </w:r>
    </w:p>
    <w:p w:rsidR="00EB5A26" w:rsidRDefault="00D80680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 Требования к передаваемой заказчику документации по оценке соответствия требованиям безопасности и качественным по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казателям товаров.</w:t>
      </w:r>
    </w:p>
    <w:p w:rsidR="00EB5A26" w:rsidRDefault="00D80680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EB5A26" w:rsidRDefault="00D80680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товаров.</w:t>
      </w:r>
    </w:p>
    <w:p w:rsidR="00EB5A26" w:rsidRDefault="00D80680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</w:t>
      </w:r>
      <w:r>
        <w:rPr>
          <w:rFonts w:ascii="Times New Roman" w:eastAsiaTheme="minorEastAsia" w:hAnsi="Times New Roman" w:cs="Times New Roman"/>
          <w:sz w:val="24"/>
          <w:szCs w:val="24"/>
        </w:rPr>
        <w:t>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EB5A26" w:rsidRDefault="00EB5A26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5A26" w:rsidRDefault="00D80680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Участник формирует свое коммерческое предложение в соответствии со Спецификацией (Приложение №1 к ТЗ) и в соответст</w:t>
      </w:r>
      <w:r>
        <w:rPr>
          <w:rStyle w:val="FontStyle12"/>
          <w:sz w:val="24"/>
          <w:szCs w:val="24"/>
        </w:rPr>
        <w:t>вии с инструкциями, указанными в закупочной документации.</w:t>
      </w:r>
    </w:p>
    <w:p w:rsidR="00EB5A26" w:rsidRDefault="00D80680">
      <w:pPr>
        <w:tabs>
          <w:tab w:val="left" w:pos="567"/>
        </w:tabs>
        <w:ind w:firstLine="567"/>
        <w:jc w:val="both"/>
      </w:pPr>
      <w:r>
        <w:t xml:space="preserve">Расчеты осуществляются в следующем порядке: </w:t>
      </w:r>
      <w:r>
        <w:t xml:space="preserve">100 (сто процентов) Суммы Договора, указанной в п.2.1 Договора, оплачивается сроком не более 7 (семи) рабочих дней с даты приемки Товара Покупателем и подписания Акта приема-передачи, унифицированной формы документа (далее – УПД) или товарной накладной по </w:t>
      </w:r>
      <w:r>
        <w:t>форме ТОРГ-12 (далее – ТОРГ-12). Для оформления реализации товаров/работ/услуг применяется УПД или ТОРГ-12 и счет-фактура, которые Поставщик предоставляет Покупателю.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Полная информация по требованиям п. 4 Технического задания указана в проекте договора, яв</w:t>
      </w:r>
      <w:r>
        <w:rPr>
          <w:rStyle w:val="FontStyle12"/>
          <w:sz w:val="24"/>
          <w:szCs w:val="24"/>
        </w:rPr>
        <w:t>ляющемся приложением к закупочной документации.</w:t>
      </w:r>
    </w:p>
    <w:p w:rsidR="00EB5A26" w:rsidRDefault="00EB5A26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5A26" w:rsidRDefault="00D80680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:rsidR="00EB5A26" w:rsidRDefault="00D80680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Не требуется.</w:t>
      </w:r>
    </w:p>
    <w:p w:rsidR="00EB5A26" w:rsidRDefault="00D80680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EB5A26" w:rsidRDefault="00D80680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Желаемое требование. Участник закупки в составе</w:t>
      </w:r>
      <w:r>
        <w:rPr>
          <w:rFonts w:eastAsiaTheme="minorEastAsia"/>
        </w:rPr>
        <w:t xml:space="preserve"> своего предложения предоставляет копии действующих сертификатов, подтверждающих наличие на предприятии участника закупки организованной системы контроля качества соблюдения процессов (сертифицированная система менеджмента качества по стандартам ГОСТ Р ИСО</w:t>
      </w:r>
      <w:r>
        <w:rPr>
          <w:rFonts w:eastAsiaTheme="minorEastAsia"/>
        </w:rPr>
        <w:t xml:space="preserve"> 9001 и/или сертифицированная система экологического менеджмента ГОСТ Р ИСО 14001 и/или сертифицированная система безопасности труда и охраны здоровья ГОСТ Р ИСО 45001 и/или сертифицированная система энергетического менеджмента ГОСТ Р ИСО 50001)</w:t>
      </w:r>
    </w:p>
    <w:p w:rsidR="00EB5A26" w:rsidRDefault="00D80680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опыту поставки товаров</w:t>
      </w:r>
    </w:p>
    <w:p w:rsidR="00EB5A26" w:rsidRDefault="00D80680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EB5A26" w:rsidRDefault="00D80680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:rsidR="00EB5A26" w:rsidRDefault="00D80680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Участник закупки в своем предложении должен указать наименование производителя предлагаемой к поставке продукции и страну проис</w:t>
      </w:r>
      <w:r>
        <w:rPr>
          <w:rFonts w:eastAsiaTheme="minorEastAsia"/>
        </w:rPr>
        <w:t>хождения товара.</w:t>
      </w:r>
    </w:p>
    <w:p w:rsidR="00EB5A26" w:rsidRDefault="00EB5A26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5A26" w:rsidRDefault="00D80680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ТЗ</w:t>
      </w:r>
    </w:p>
    <w:p w:rsidR="00EB5A26" w:rsidRDefault="00D80680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 Спецификация (прилагается в формате *.</w:t>
      </w:r>
      <w:r>
        <w:rPr>
          <w:rFonts w:ascii="Times New Roman" w:hAnsi="Times New Roman" w:cs="Times New Roman"/>
          <w:sz w:val="24"/>
          <w:szCs w:val="24"/>
          <w:lang w:val="en-US"/>
        </w:rPr>
        <w:t>xlsx</w:t>
      </w:r>
      <w:r>
        <w:rPr>
          <w:rFonts w:ascii="Times New Roman" w:eastAsiaTheme="minorEastAsia" w:hAnsi="Times New Roman" w:cs="Times New Roman"/>
          <w:sz w:val="24"/>
          <w:szCs w:val="24"/>
        </w:rPr>
        <w:t>).</w:t>
      </w:r>
      <w:bookmarkStart w:id="0" w:name="_GoBack"/>
      <w:bookmarkEnd w:id="0"/>
    </w:p>
    <w:sectPr w:rsidR="00EB5A26">
      <w:headerReference w:type="default" r:id="rId7"/>
      <w:pgSz w:w="11906" w:h="16838"/>
      <w:pgMar w:top="1134" w:right="709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A26" w:rsidRDefault="00D80680">
      <w:r>
        <w:separator/>
      </w:r>
    </w:p>
  </w:endnote>
  <w:endnote w:type="continuationSeparator" w:id="0">
    <w:p w:rsidR="00EB5A26" w:rsidRDefault="00D8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A26" w:rsidRDefault="00D80680">
      <w:r>
        <w:separator/>
      </w:r>
    </w:p>
  </w:footnote>
  <w:footnote w:type="continuationSeparator" w:id="0">
    <w:p w:rsidR="00EB5A26" w:rsidRDefault="00D8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2091600"/>
      <w:docPartObj>
        <w:docPartGallery w:val="Page Numbers (Top of Page)"/>
        <w:docPartUnique/>
      </w:docPartObj>
    </w:sdtPr>
    <w:sdtEndPr/>
    <w:sdtContent>
      <w:p w:rsidR="00EB5A26" w:rsidRDefault="00D80680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04B2E"/>
    <w:multiLevelType w:val="hybridMultilevel"/>
    <w:tmpl w:val="AADC2748"/>
    <w:lvl w:ilvl="0" w:tplc="5E92A6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28C98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BCC9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9A8E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B1AD4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4EC60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82A10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7429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66B2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E37D9"/>
    <w:multiLevelType w:val="multilevel"/>
    <w:tmpl w:val="22CAE5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74965DD"/>
    <w:multiLevelType w:val="hybridMultilevel"/>
    <w:tmpl w:val="348A1192"/>
    <w:lvl w:ilvl="0" w:tplc="6C625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9C39E0">
      <w:start w:val="1"/>
      <w:numFmt w:val="lowerLetter"/>
      <w:lvlText w:val="%2."/>
      <w:lvlJc w:val="left"/>
      <w:pPr>
        <w:ind w:left="1440" w:hanging="360"/>
      </w:pPr>
    </w:lvl>
    <w:lvl w:ilvl="2" w:tplc="A1A4A2A0">
      <w:start w:val="1"/>
      <w:numFmt w:val="lowerRoman"/>
      <w:lvlText w:val="%3."/>
      <w:lvlJc w:val="right"/>
      <w:pPr>
        <w:ind w:left="2160" w:hanging="180"/>
      </w:pPr>
    </w:lvl>
    <w:lvl w:ilvl="3" w:tplc="7C205596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DB48E594">
      <w:start w:val="1"/>
      <w:numFmt w:val="lowerLetter"/>
      <w:lvlText w:val="%5."/>
      <w:lvlJc w:val="left"/>
      <w:pPr>
        <w:ind w:left="3600" w:hanging="360"/>
      </w:pPr>
    </w:lvl>
    <w:lvl w:ilvl="5" w:tplc="E7F43F70">
      <w:start w:val="1"/>
      <w:numFmt w:val="lowerRoman"/>
      <w:lvlText w:val="%6."/>
      <w:lvlJc w:val="right"/>
      <w:pPr>
        <w:ind w:left="4320" w:hanging="180"/>
      </w:pPr>
    </w:lvl>
    <w:lvl w:ilvl="6" w:tplc="2BDAAC06">
      <w:start w:val="1"/>
      <w:numFmt w:val="decimal"/>
      <w:lvlText w:val="%7."/>
      <w:lvlJc w:val="left"/>
      <w:pPr>
        <w:ind w:left="5040" w:hanging="360"/>
      </w:pPr>
    </w:lvl>
    <w:lvl w:ilvl="7" w:tplc="CD7C9C00">
      <w:start w:val="1"/>
      <w:numFmt w:val="lowerLetter"/>
      <w:lvlText w:val="%8."/>
      <w:lvlJc w:val="left"/>
      <w:pPr>
        <w:ind w:left="5760" w:hanging="360"/>
      </w:pPr>
    </w:lvl>
    <w:lvl w:ilvl="8" w:tplc="23F6D8F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B3093"/>
    <w:multiLevelType w:val="multilevel"/>
    <w:tmpl w:val="D598C9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" w15:restartNumberingAfterBreak="0">
    <w:nsid w:val="289A5095"/>
    <w:multiLevelType w:val="hybridMultilevel"/>
    <w:tmpl w:val="664ABB4C"/>
    <w:lvl w:ilvl="0" w:tplc="F4889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1811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7ACE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105B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7DCB7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7886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26FB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227A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68E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2A51DA"/>
    <w:multiLevelType w:val="hybridMultilevel"/>
    <w:tmpl w:val="A71E959C"/>
    <w:lvl w:ilvl="0" w:tplc="0C0EB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304BF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74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B83F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082D9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9E59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463B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BA255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BF6F7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032B6"/>
    <w:multiLevelType w:val="hybridMultilevel"/>
    <w:tmpl w:val="3CEE0806"/>
    <w:lvl w:ilvl="0" w:tplc="3544C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260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AC459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DC0D6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152E0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5DE53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CB013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D265A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FC1D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2A153B"/>
    <w:multiLevelType w:val="hybridMultilevel"/>
    <w:tmpl w:val="69B4B954"/>
    <w:lvl w:ilvl="0" w:tplc="46160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BC0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A0F9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CEAA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DF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78A20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425F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556AF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949F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81AA4"/>
    <w:multiLevelType w:val="hybridMultilevel"/>
    <w:tmpl w:val="71149CEE"/>
    <w:lvl w:ilvl="0" w:tplc="BD2480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0A1B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67C3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DC0C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CF20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BEF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8453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5E871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C40C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417397"/>
    <w:multiLevelType w:val="multilevel"/>
    <w:tmpl w:val="515EE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0775D73"/>
    <w:multiLevelType w:val="multilevel"/>
    <w:tmpl w:val="74845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0F0548"/>
    <w:multiLevelType w:val="hybridMultilevel"/>
    <w:tmpl w:val="7116D718"/>
    <w:lvl w:ilvl="0" w:tplc="5AD064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1B2F01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17227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64E927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C3EB9E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61883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B2E3AB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B2AD2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57015E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D5051A"/>
    <w:multiLevelType w:val="hybridMultilevel"/>
    <w:tmpl w:val="B02635F2"/>
    <w:lvl w:ilvl="0" w:tplc="DB54B8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F2A2A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239678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C3E9B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9808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3A13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6842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B69D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EE72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2B1E9A"/>
    <w:multiLevelType w:val="multilevel"/>
    <w:tmpl w:val="51B64C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4DE80FC9"/>
    <w:multiLevelType w:val="multilevel"/>
    <w:tmpl w:val="2A1AB1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0E10B8C"/>
    <w:multiLevelType w:val="hybridMultilevel"/>
    <w:tmpl w:val="4BECEAA8"/>
    <w:lvl w:ilvl="0" w:tplc="C3AC2D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F480D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2A8C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D03A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5CA5F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D44E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B6B5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0489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B63B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69375B"/>
    <w:multiLevelType w:val="hybridMultilevel"/>
    <w:tmpl w:val="D6422FC6"/>
    <w:lvl w:ilvl="0" w:tplc="1CEE2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A9E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62B9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48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06A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90E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C98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EE9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ED2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71017"/>
    <w:multiLevelType w:val="hybridMultilevel"/>
    <w:tmpl w:val="EB5E0E34"/>
    <w:lvl w:ilvl="0" w:tplc="39969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5041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3CE3D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C483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7C41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EEE4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A0EF9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094B1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B819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CA4A0B"/>
    <w:multiLevelType w:val="hybridMultilevel"/>
    <w:tmpl w:val="BB1225B6"/>
    <w:lvl w:ilvl="0" w:tplc="1F5ED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D61F1C">
      <w:start w:val="1"/>
      <w:numFmt w:val="lowerLetter"/>
      <w:lvlText w:val="%2."/>
      <w:lvlJc w:val="left"/>
      <w:pPr>
        <w:ind w:left="1440" w:hanging="360"/>
      </w:pPr>
    </w:lvl>
    <w:lvl w:ilvl="2" w:tplc="E2927C04">
      <w:start w:val="1"/>
      <w:numFmt w:val="lowerRoman"/>
      <w:lvlText w:val="%3."/>
      <w:lvlJc w:val="right"/>
      <w:pPr>
        <w:ind w:left="2160" w:hanging="180"/>
      </w:pPr>
    </w:lvl>
    <w:lvl w:ilvl="3" w:tplc="11EABD12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6AB98A">
      <w:start w:val="1"/>
      <w:numFmt w:val="lowerLetter"/>
      <w:lvlText w:val="%5."/>
      <w:lvlJc w:val="left"/>
      <w:pPr>
        <w:ind w:left="3600" w:hanging="360"/>
      </w:pPr>
    </w:lvl>
    <w:lvl w:ilvl="5" w:tplc="53263430">
      <w:start w:val="1"/>
      <w:numFmt w:val="lowerRoman"/>
      <w:lvlText w:val="%6."/>
      <w:lvlJc w:val="right"/>
      <w:pPr>
        <w:ind w:left="4320" w:hanging="180"/>
      </w:pPr>
    </w:lvl>
    <w:lvl w:ilvl="6" w:tplc="768EA438">
      <w:start w:val="1"/>
      <w:numFmt w:val="decimal"/>
      <w:lvlText w:val="%7."/>
      <w:lvlJc w:val="left"/>
      <w:pPr>
        <w:ind w:left="5040" w:hanging="360"/>
      </w:pPr>
    </w:lvl>
    <w:lvl w:ilvl="7" w:tplc="7D26AD1A">
      <w:start w:val="1"/>
      <w:numFmt w:val="lowerLetter"/>
      <w:lvlText w:val="%8."/>
      <w:lvlJc w:val="left"/>
      <w:pPr>
        <w:ind w:left="5760" w:hanging="360"/>
      </w:pPr>
    </w:lvl>
    <w:lvl w:ilvl="8" w:tplc="4044DBA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313EE"/>
    <w:multiLevelType w:val="hybridMultilevel"/>
    <w:tmpl w:val="92ECCD3E"/>
    <w:lvl w:ilvl="0" w:tplc="687CC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2966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1CB7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62DA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628B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11E45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ADE06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CCD5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9284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B33617"/>
    <w:multiLevelType w:val="hybridMultilevel"/>
    <w:tmpl w:val="8734653C"/>
    <w:lvl w:ilvl="0" w:tplc="0E58C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F1A94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EFE63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50F0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145C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DFAF6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7A69C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6EA7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0F8EA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DA7880"/>
    <w:multiLevelType w:val="multilevel"/>
    <w:tmpl w:val="D4124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5B02979"/>
    <w:multiLevelType w:val="hybridMultilevel"/>
    <w:tmpl w:val="8B629FA2"/>
    <w:lvl w:ilvl="0" w:tplc="9208BC8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208D4B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C922768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4B6D9EA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3D084DE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B6601C3E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00202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C2304300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3184FEA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8150EA1"/>
    <w:multiLevelType w:val="hybridMultilevel"/>
    <w:tmpl w:val="EEC0FD12"/>
    <w:lvl w:ilvl="0" w:tplc="1D9EA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5246D8">
      <w:start w:val="1"/>
      <w:numFmt w:val="lowerLetter"/>
      <w:lvlText w:val="%2."/>
      <w:lvlJc w:val="left"/>
      <w:pPr>
        <w:ind w:left="1440" w:hanging="360"/>
      </w:pPr>
    </w:lvl>
    <w:lvl w:ilvl="2" w:tplc="5930F5F2">
      <w:start w:val="1"/>
      <w:numFmt w:val="lowerRoman"/>
      <w:lvlText w:val="%3."/>
      <w:lvlJc w:val="right"/>
      <w:pPr>
        <w:ind w:left="2160" w:hanging="180"/>
      </w:pPr>
    </w:lvl>
    <w:lvl w:ilvl="3" w:tplc="C4C2002C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F32437A6">
      <w:start w:val="1"/>
      <w:numFmt w:val="lowerLetter"/>
      <w:lvlText w:val="%5."/>
      <w:lvlJc w:val="left"/>
      <w:pPr>
        <w:ind w:left="3600" w:hanging="360"/>
      </w:pPr>
    </w:lvl>
    <w:lvl w:ilvl="5" w:tplc="57F0EA1E">
      <w:start w:val="1"/>
      <w:numFmt w:val="lowerRoman"/>
      <w:lvlText w:val="%6."/>
      <w:lvlJc w:val="right"/>
      <w:pPr>
        <w:ind w:left="4320" w:hanging="180"/>
      </w:pPr>
    </w:lvl>
    <w:lvl w:ilvl="6" w:tplc="08CA7D6E">
      <w:start w:val="1"/>
      <w:numFmt w:val="decimal"/>
      <w:lvlText w:val="%7."/>
      <w:lvlJc w:val="left"/>
      <w:pPr>
        <w:ind w:left="5040" w:hanging="360"/>
      </w:pPr>
    </w:lvl>
    <w:lvl w:ilvl="7" w:tplc="5B1488D2">
      <w:start w:val="1"/>
      <w:numFmt w:val="lowerLetter"/>
      <w:lvlText w:val="%8."/>
      <w:lvlJc w:val="left"/>
      <w:pPr>
        <w:ind w:left="5760" w:hanging="360"/>
      </w:pPr>
    </w:lvl>
    <w:lvl w:ilvl="8" w:tplc="47AABAC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028EB"/>
    <w:multiLevelType w:val="multilevel"/>
    <w:tmpl w:val="3236A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23"/>
  </w:num>
  <w:num w:numId="4">
    <w:abstractNumId w:val="10"/>
  </w:num>
  <w:num w:numId="5">
    <w:abstractNumId w:val="16"/>
  </w:num>
  <w:num w:numId="6">
    <w:abstractNumId w:val="0"/>
  </w:num>
  <w:num w:numId="7">
    <w:abstractNumId w:val="19"/>
  </w:num>
  <w:num w:numId="8">
    <w:abstractNumId w:val="7"/>
  </w:num>
  <w:num w:numId="9">
    <w:abstractNumId w:val="15"/>
  </w:num>
  <w:num w:numId="10">
    <w:abstractNumId w:val="8"/>
  </w:num>
  <w:num w:numId="11">
    <w:abstractNumId w:val="6"/>
  </w:num>
  <w:num w:numId="12">
    <w:abstractNumId w:val="20"/>
  </w:num>
  <w:num w:numId="13">
    <w:abstractNumId w:val="4"/>
  </w:num>
  <w:num w:numId="14">
    <w:abstractNumId w:val="17"/>
  </w:num>
  <w:num w:numId="15">
    <w:abstractNumId w:val="5"/>
  </w:num>
  <w:num w:numId="16">
    <w:abstractNumId w:val="3"/>
  </w:num>
  <w:num w:numId="17">
    <w:abstractNumId w:val="22"/>
  </w:num>
  <w:num w:numId="18">
    <w:abstractNumId w:val="12"/>
  </w:num>
  <w:num w:numId="19">
    <w:abstractNumId w:val="21"/>
  </w:num>
  <w:num w:numId="20">
    <w:abstractNumId w:val="11"/>
  </w:num>
  <w:num w:numId="21">
    <w:abstractNumId w:val="13"/>
  </w:num>
  <w:num w:numId="22">
    <w:abstractNumId w:val="1"/>
  </w:num>
  <w:num w:numId="23">
    <w:abstractNumId w:val="14"/>
  </w:num>
  <w:num w:numId="24">
    <w:abstractNumId w:val="2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A26"/>
    <w:rsid w:val="00D80680"/>
    <w:rsid w:val="00EB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16946"/>
  <w15:docId w15:val="{3A09A2E0-38FC-4A2E-883F-7F5D1D3E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pPr>
      <w:spacing w:after="0" w:line="240" w:lineRule="auto"/>
    </w:pPr>
  </w:style>
  <w:style w:type="paragraph" w:styleId="aff3">
    <w:name w:val="Body Text Indent"/>
    <w:basedOn w:val="a"/>
    <w:link w:val="aff4"/>
    <w:uiPriority w:val="99"/>
    <w:pPr>
      <w:spacing w:after="120"/>
      <w:ind w:left="283"/>
    </w:pPr>
    <w:rPr>
      <w:sz w:val="28"/>
      <w:szCs w:val="28"/>
    </w:rPr>
  </w:style>
  <w:style w:type="character" w:customStyle="1" w:styleId="aff4">
    <w:name w:val="Основной текст с отступом Знак"/>
    <w:basedOn w:val="a0"/>
    <w:link w:val="aff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Смирнягина Анна Сергеевна</cp:lastModifiedBy>
  <cp:revision>2</cp:revision>
  <dcterms:created xsi:type="dcterms:W3CDTF">2024-02-06T03:12:00Z</dcterms:created>
  <dcterms:modified xsi:type="dcterms:W3CDTF">2024-02-06T03:12:00Z</dcterms:modified>
</cp:coreProperties>
</file>