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1431999357" name="Picture">
</wp:docPr>
                  <a:graphic>
                    <a:graphicData uri="http://schemas.openxmlformats.org/drawingml/2006/picture">
                      <pic:pic>
                        <pic:nvPicPr>
                          <pic:cNvPr id="1431999357"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424.24.00202 Программное обеспечение для управления процессами корпоративной печати</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1010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26%</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70%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36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36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t xml:space="preserve">- на третьем этапе проводится коммерческая экспертиза.</w:t>
            </w:r>
          </w:p>
        </w:tc>
        <w:tc>
          <w:tcPr>
     </w:tcPr>
          <w:p>
            <w:pPr>
              <w:pStyle w:val="EMPTY_CELL_STYLE"/>
            </w:pP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632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bl>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балл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46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424.24.00202</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424.24.00202</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424.24.00202</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424.24.00202</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424.24.00202</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72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действующих свидетельств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br/>
                          <w:t xml:space="preserve">2 балла - Не используется для оценки</w:t>
                          <w:br/>
                          <w:t xml:space="preserve">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 </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