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D05" w:rsidRPr="00EC24F4" w:rsidRDefault="000F7D05">
      <w:pPr>
        <w:spacing w:after="240"/>
        <w:jc w:val="center"/>
        <w:rPr>
          <w:b/>
          <w:bCs/>
        </w:rPr>
      </w:pPr>
    </w:p>
    <w:p w:rsidR="000F7D05" w:rsidRPr="00EC24F4" w:rsidRDefault="00C87EC9">
      <w:pPr>
        <w:spacing w:after="240"/>
        <w:jc w:val="center"/>
        <w:rPr>
          <w:b/>
          <w:bCs/>
        </w:rPr>
      </w:pPr>
      <w:bookmarkStart w:id="0" w:name="_Toc409514472"/>
      <w:r w:rsidRPr="00EC24F4">
        <w:rPr>
          <w:b/>
          <w:bCs/>
        </w:rPr>
        <w:t>ТЕХНИЧЕСКОЕ ЗАДАНИЕ</w:t>
      </w:r>
    </w:p>
    <w:p w:rsidR="000F7D05" w:rsidRPr="00EC24F4" w:rsidRDefault="00C87EC9">
      <w:pPr>
        <w:spacing w:after="120"/>
        <w:ind w:firstLine="708"/>
        <w:jc w:val="both"/>
      </w:pPr>
      <w:r w:rsidRPr="00EC24F4">
        <w:t>на: Оказание финансовых услуг для нужд компаний Группы «Интер РАО» по заключению договоров предоставления денежных средств</w:t>
      </w:r>
    </w:p>
    <w:p w:rsidR="000F7D05" w:rsidRPr="00EC24F4" w:rsidRDefault="000F7D05">
      <w:pPr>
        <w:spacing w:after="120"/>
        <w:ind w:firstLine="708"/>
        <w:jc w:val="both"/>
      </w:pPr>
    </w:p>
    <w:p w:rsidR="000F7D05" w:rsidRPr="00EC24F4" w:rsidRDefault="00C87EC9">
      <w:pPr>
        <w:pStyle w:val="a3"/>
        <w:numPr>
          <w:ilvl w:val="0"/>
          <w:numId w:val="1"/>
        </w:numPr>
        <w:spacing w:after="160"/>
        <w:jc w:val="both"/>
        <w:rPr>
          <w:rFonts w:ascii="Times New Roman" w:hAnsi="Times New Roman"/>
          <w:sz w:val="24"/>
          <w:szCs w:val="24"/>
        </w:rPr>
      </w:pPr>
      <w:r w:rsidRPr="00EC24F4">
        <w:rPr>
          <w:rFonts w:ascii="Times New Roman" w:hAnsi="Times New Roman"/>
          <w:sz w:val="24"/>
          <w:szCs w:val="24"/>
        </w:rPr>
        <w:t>НАИМЕНОВАНИЕ УСЛУГ (НОМЕНКЛАТУРА) И ПЕРЕЧЕНЬ ОБЪЕКТОВ, НА КОТОРЫХ БУДУТ ОКАЗЫВАТЬСЯ УСЛУГИ</w:t>
      </w:r>
    </w:p>
    <w:p w:rsidR="000F7D05" w:rsidRPr="00EC24F4" w:rsidRDefault="00C87EC9">
      <w:pPr>
        <w:pStyle w:val="aff6"/>
        <w:spacing w:before="0"/>
        <w:ind w:firstLine="708"/>
        <w:jc w:val="both"/>
        <w:rPr>
          <w:rFonts w:eastAsia="Calibri"/>
          <w:color w:val="auto"/>
          <w:lang w:eastAsia="en-US"/>
        </w:rPr>
      </w:pPr>
      <w:r w:rsidRPr="00EC24F4">
        <w:rPr>
          <w:rFonts w:eastAsia="Calibri"/>
          <w:color w:val="auto"/>
          <w:lang w:eastAsia="en-US"/>
        </w:rPr>
        <w:t>Услуги по предоставлению кредита в форме возобновляемой кредитной линии</w:t>
      </w:r>
    </w:p>
    <w:p w:rsidR="000F7D05" w:rsidRPr="00EC24F4" w:rsidRDefault="00C87EC9">
      <w:pPr>
        <w:pStyle w:val="aff6"/>
        <w:spacing w:before="0"/>
        <w:ind w:firstLine="708"/>
        <w:jc w:val="both"/>
        <w:rPr>
          <w:rFonts w:eastAsia="Calibri"/>
          <w:color w:val="auto"/>
          <w:lang w:eastAsia="en-US"/>
        </w:rPr>
      </w:pPr>
      <w:r w:rsidRPr="00EC24F4">
        <w:rPr>
          <w:rFonts w:eastAsia="Calibri"/>
          <w:color w:val="auto"/>
          <w:lang w:eastAsia="en-US"/>
        </w:rPr>
        <w:t xml:space="preserve">Лот: Предоставление денежных средств со свободным графиком их получения / открытие возобновляемой кредитной линии/ открытие возобновляемой рамочной кредитной линии с траншами, </w:t>
      </w:r>
      <w:r w:rsidRPr="00EC24F4">
        <w:rPr>
          <w:color w:val="auto"/>
        </w:rPr>
        <w:t xml:space="preserve">согласно приложению 1 к настоящему ТЗ, сроком </w:t>
      </w:r>
      <w:r w:rsidRPr="00EC24F4">
        <w:rPr>
          <w:rFonts w:eastAsia="Calibri"/>
          <w:color w:val="auto"/>
          <w:lang w:eastAsia="en-US"/>
        </w:rPr>
        <w:t>на 3 года с даты заключения договора.</w:t>
      </w:r>
    </w:p>
    <w:p w:rsidR="000F7D05" w:rsidRPr="00EC24F4" w:rsidRDefault="00C87EC9">
      <w:pPr>
        <w:pStyle w:val="aff6"/>
        <w:spacing w:before="0"/>
        <w:ind w:firstLine="708"/>
        <w:jc w:val="both"/>
        <w:rPr>
          <w:rFonts w:eastAsia="Calibri"/>
          <w:color w:val="auto"/>
          <w:lang w:eastAsia="en-US"/>
        </w:rPr>
      </w:pPr>
      <w:r w:rsidRPr="00EC24F4">
        <w:rPr>
          <w:rFonts w:eastAsia="Calibri"/>
          <w:color w:val="auto"/>
          <w:lang w:eastAsia="en-US"/>
        </w:rPr>
        <w:t>Услуги оказываются: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3544"/>
      </w:tblGrid>
      <w:tr w:rsidR="00EC24F4" w:rsidRPr="00EC24F4">
        <w:trPr>
          <w:trHeight w:val="895"/>
        </w:trPr>
        <w:tc>
          <w:tcPr>
            <w:tcW w:w="6487" w:type="dxa"/>
            <w:shd w:val="clear" w:color="000000" w:fill="DCE6F1"/>
            <w:vAlign w:val="center"/>
          </w:tcPr>
          <w:p w:rsidR="000F7D05" w:rsidRPr="00EC24F4" w:rsidRDefault="00C87EC9">
            <w:pPr>
              <w:jc w:val="center"/>
              <w:rPr>
                <w:b/>
                <w:bCs/>
              </w:rPr>
            </w:pPr>
            <w:r w:rsidRPr="00EC24F4">
              <w:rPr>
                <w:b/>
                <w:bCs/>
              </w:rPr>
              <w:t>Наименование ДО</w:t>
            </w:r>
          </w:p>
        </w:tc>
        <w:tc>
          <w:tcPr>
            <w:tcW w:w="3544" w:type="dxa"/>
            <w:shd w:val="clear" w:color="000000" w:fill="DCE6F1"/>
            <w:vAlign w:val="center"/>
          </w:tcPr>
          <w:p w:rsidR="000F7D05" w:rsidRPr="00EC24F4" w:rsidRDefault="00C87EC9">
            <w:pPr>
              <w:jc w:val="center"/>
              <w:rPr>
                <w:b/>
                <w:bCs/>
              </w:rPr>
            </w:pPr>
            <w:r w:rsidRPr="00EC24F4">
              <w:rPr>
                <w:rFonts w:eastAsia="Calibri"/>
                <w:lang w:eastAsia="en-US"/>
              </w:rPr>
              <w:t>Начальная (максимальная) стоимость оказываемых услуг (в руб., НДС не облагается)</w:t>
            </w:r>
          </w:p>
        </w:tc>
      </w:tr>
      <w:tr w:rsidR="00EC24F4" w:rsidRPr="00EC24F4">
        <w:trPr>
          <w:trHeight w:val="390"/>
        </w:trPr>
        <w:tc>
          <w:tcPr>
            <w:tcW w:w="6487" w:type="dxa"/>
            <w:vAlign w:val="center"/>
          </w:tcPr>
          <w:p w:rsidR="000F7D05" w:rsidRPr="00EC24F4" w:rsidRDefault="00C87EC9">
            <w:r w:rsidRPr="00EC24F4">
              <w:rPr>
                <w:bCs/>
              </w:rPr>
              <w:t>ООО «Орловский энергосбыт»</w:t>
            </w:r>
          </w:p>
        </w:tc>
        <w:tc>
          <w:tcPr>
            <w:tcW w:w="3544" w:type="dxa"/>
            <w:vAlign w:val="center"/>
          </w:tcPr>
          <w:p w:rsidR="000F7D05" w:rsidRPr="00EC24F4" w:rsidRDefault="00C87EC9">
            <w:pPr>
              <w:jc w:val="center"/>
            </w:pPr>
            <w:r w:rsidRPr="00EC24F4">
              <w:t>127 500 000</w:t>
            </w:r>
          </w:p>
        </w:tc>
      </w:tr>
      <w:tr w:rsidR="000F7D05" w:rsidRPr="00EC24F4">
        <w:trPr>
          <w:trHeight w:val="390"/>
        </w:trPr>
        <w:tc>
          <w:tcPr>
            <w:tcW w:w="6487" w:type="dxa"/>
            <w:vAlign w:val="center"/>
          </w:tcPr>
          <w:p w:rsidR="000F7D05" w:rsidRPr="00EC24F4" w:rsidRDefault="00C87EC9">
            <w:pPr>
              <w:rPr>
                <w:bCs/>
              </w:rPr>
            </w:pPr>
            <w:r w:rsidRPr="00EC24F4">
              <w:rPr>
                <w:bCs/>
              </w:rPr>
              <w:t>АО «</w:t>
            </w:r>
            <w:proofErr w:type="spellStart"/>
            <w:r w:rsidRPr="00EC24F4">
              <w:rPr>
                <w:bCs/>
              </w:rPr>
              <w:t>Томскэнергосбыт</w:t>
            </w:r>
            <w:proofErr w:type="spellEnd"/>
            <w:r w:rsidRPr="00EC24F4">
              <w:rPr>
                <w:bCs/>
              </w:rPr>
              <w:t>»</w:t>
            </w:r>
          </w:p>
        </w:tc>
        <w:tc>
          <w:tcPr>
            <w:tcW w:w="3544" w:type="dxa"/>
            <w:vAlign w:val="center"/>
          </w:tcPr>
          <w:p w:rsidR="000F7D05" w:rsidRPr="00EC24F4" w:rsidRDefault="00C87EC9">
            <w:pPr>
              <w:jc w:val="center"/>
            </w:pPr>
            <w:r w:rsidRPr="00EC24F4">
              <w:t>510 000 000</w:t>
            </w:r>
          </w:p>
        </w:tc>
      </w:tr>
    </w:tbl>
    <w:p w:rsidR="000F7D05" w:rsidRPr="00EC24F4" w:rsidRDefault="000F7D05">
      <w:pPr>
        <w:pStyle w:val="aff6"/>
        <w:spacing w:before="0"/>
        <w:ind w:firstLine="708"/>
        <w:jc w:val="both"/>
        <w:rPr>
          <w:rFonts w:eastAsia="Calibri"/>
          <w:color w:val="auto"/>
          <w:lang w:eastAsia="en-US"/>
        </w:rPr>
      </w:pPr>
    </w:p>
    <w:p w:rsidR="000F7D05" w:rsidRPr="00EC24F4" w:rsidRDefault="00C87EC9">
      <w:pPr>
        <w:pStyle w:val="a3"/>
        <w:numPr>
          <w:ilvl w:val="0"/>
          <w:numId w:val="1"/>
        </w:numPr>
        <w:spacing w:after="160"/>
        <w:jc w:val="both"/>
        <w:rPr>
          <w:rFonts w:ascii="Times New Roman" w:hAnsi="Times New Roman"/>
          <w:sz w:val="24"/>
          <w:szCs w:val="24"/>
        </w:rPr>
      </w:pPr>
      <w:r w:rsidRPr="00EC24F4">
        <w:rPr>
          <w:rFonts w:ascii="Times New Roman" w:hAnsi="Times New Roman"/>
          <w:sz w:val="24"/>
          <w:szCs w:val="24"/>
        </w:rPr>
        <w:t>ОБЩИЕ ТРЕБОВАНИЯ</w:t>
      </w:r>
    </w:p>
    <w:p w:rsidR="000F7D05" w:rsidRPr="00EC24F4" w:rsidRDefault="00C87EC9">
      <w:pPr>
        <w:spacing w:after="160"/>
        <w:ind w:left="708"/>
        <w:jc w:val="both"/>
      </w:pPr>
      <w:r w:rsidRPr="00EC24F4">
        <w:t>2.1. Основание для оказания услуг</w:t>
      </w:r>
    </w:p>
    <w:p w:rsidR="000F7D05" w:rsidRPr="00EC24F4" w:rsidRDefault="00C87EC9">
      <w:pPr>
        <w:pStyle w:val="aff6"/>
        <w:spacing w:before="0"/>
        <w:ind w:firstLine="708"/>
        <w:jc w:val="both"/>
        <w:rPr>
          <w:rFonts w:eastAsia="Calibri"/>
          <w:color w:val="auto"/>
          <w:lang w:eastAsia="en-US"/>
        </w:rPr>
      </w:pPr>
      <w:r w:rsidRPr="00EC24F4">
        <w:rPr>
          <w:rFonts w:eastAsia="Calibri"/>
          <w:color w:val="auto"/>
          <w:lang w:eastAsia="en-US"/>
        </w:rPr>
        <w:t>С целью оптимизации процентных расходов по кредитному портфелю, расширения круга кредиторов, а также с учетом истекшего/истекающего в 2023 году срока действия по ряду кредитных договоров существует необходимость проведения конкурентных процедур в 3 квартале 2023 года по выбору кредитных организаций для кредитования компаний Группы «Интер РАО»</w:t>
      </w:r>
      <w:r w:rsidRPr="00EC24F4">
        <w:rPr>
          <w:color w:val="auto"/>
        </w:rPr>
        <w:t>.</w:t>
      </w:r>
      <w:r w:rsidRPr="00EC24F4">
        <w:rPr>
          <w:rFonts w:eastAsia="Calibri"/>
          <w:color w:val="auto"/>
          <w:lang w:eastAsia="en-US"/>
        </w:rPr>
        <w:t xml:space="preserve"> </w:t>
      </w:r>
    </w:p>
    <w:p w:rsidR="000F7D05" w:rsidRPr="00EC24F4" w:rsidRDefault="00C87EC9">
      <w:pPr>
        <w:pStyle w:val="aff6"/>
        <w:spacing w:before="0"/>
        <w:ind w:firstLine="709"/>
        <w:jc w:val="both"/>
        <w:rPr>
          <w:rFonts w:eastAsia="Calibri"/>
          <w:color w:val="auto"/>
          <w:lang w:eastAsia="en-US"/>
        </w:rPr>
      </w:pPr>
      <w:r w:rsidRPr="00EC24F4">
        <w:rPr>
          <w:rFonts w:eastAsia="Calibri"/>
          <w:color w:val="auto"/>
          <w:lang w:eastAsia="en-US"/>
        </w:rPr>
        <w:t xml:space="preserve">В результате проведения закупочных процедур должна быть сформирована конкурентная среда с участием кредиторов компаний Группы «Интер РАО», способствующая получению максимально выгодных условий кредитования. </w:t>
      </w:r>
    </w:p>
    <w:p w:rsidR="000F7D05" w:rsidRPr="00EC24F4" w:rsidRDefault="00C87EC9">
      <w:pPr>
        <w:pStyle w:val="aff6"/>
        <w:spacing w:before="0"/>
        <w:ind w:firstLine="709"/>
        <w:jc w:val="both"/>
        <w:rPr>
          <w:rFonts w:eastAsia="Calibri"/>
          <w:color w:val="auto"/>
          <w:lang w:eastAsia="en-US"/>
        </w:rPr>
      </w:pPr>
      <w:r w:rsidRPr="00EC24F4">
        <w:rPr>
          <w:rFonts w:eastAsia="Calibri"/>
          <w:color w:val="auto"/>
          <w:lang w:eastAsia="en-US"/>
        </w:rPr>
        <w:t>Целевое использование:</w:t>
      </w:r>
    </w:p>
    <w:p w:rsidR="000F7D05" w:rsidRPr="00EC24F4" w:rsidRDefault="00C87EC9">
      <w:pPr>
        <w:pStyle w:val="aff6"/>
        <w:spacing w:before="0"/>
        <w:ind w:firstLine="709"/>
        <w:jc w:val="both"/>
        <w:rPr>
          <w:rFonts w:eastAsia="Calibri"/>
          <w:color w:val="auto"/>
          <w:lang w:eastAsia="en-US"/>
        </w:rPr>
      </w:pPr>
      <w:r w:rsidRPr="00EC24F4">
        <w:rPr>
          <w:rFonts w:eastAsia="Calibri"/>
          <w:color w:val="auto"/>
          <w:lang w:eastAsia="en-US"/>
        </w:rPr>
        <w:t xml:space="preserve"> </w:t>
      </w:r>
      <w:r w:rsidRPr="00EC24F4">
        <w:rPr>
          <w:bCs/>
          <w:color w:val="auto"/>
        </w:rPr>
        <w:t>– Пополнение оборотных средств, в т.ч. рефинансирование кредитов и займов</w:t>
      </w:r>
    </w:p>
    <w:p w:rsidR="000F7D05" w:rsidRPr="00EC24F4" w:rsidRDefault="00C87EC9">
      <w:pPr>
        <w:spacing w:after="160"/>
        <w:ind w:left="708"/>
        <w:jc w:val="both"/>
      </w:pPr>
      <w:r w:rsidRPr="00EC24F4">
        <w:t>2.2. Требования к срокам оказания услуг</w:t>
      </w:r>
    </w:p>
    <w:p w:rsidR="000F7D05" w:rsidRPr="00EC24F4" w:rsidRDefault="00C87EC9">
      <w:pPr>
        <w:spacing w:after="160"/>
        <w:ind w:left="708"/>
        <w:jc w:val="both"/>
      </w:pPr>
      <w:r w:rsidRPr="00EC24F4">
        <w:t>Начало оказания услуг: с момента подписания договора.</w:t>
      </w:r>
    </w:p>
    <w:p w:rsidR="000F7D05" w:rsidRPr="00EC24F4" w:rsidRDefault="00C87EC9">
      <w:pPr>
        <w:spacing w:after="160"/>
        <w:ind w:left="708"/>
        <w:jc w:val="both"/>
      </w:pPr>
      <w:r w:rsidRPr="00EC24F4">
        <w:t>Окончание оказания услуг: 3 (Три) года с даты подписания договора.</w:t>
      </w:r>
    </w:p>
    <w:p w:rsidR="000F7D05" w:rsidRPr="00EC24F4" w:rsidRDefault="00C87EC9">
      <w:pPr>
        <w:spacing w:after="160"/>
        <w:ind w:left="708"/>
        <w:jc w:val="both"/>
      </w:pPr>
      <w:r w:rsidRPr="00EC24F4">
        <w:t>2.3. Нормативные требования к качеству услуг, их результату</w:t>
      </w:r>
    </w:p>
    <w:p w:rsidR="000F7D05" w:rsidRPr="00EC24F4" w:rsidRDefault="00C87EC9">
      <w:pPr>
        <w:spacing w:after="160"/>
        <w:ind w:firstLine="709"/>
        <w:jc w:val="both"/>
      </w:pPr>
      <w:r w:rsidRPr="00EC24F4">
        <w:t>Услуги должны быть оказаны с соблюдением законодательства РФ.</w:t>
      </w:r>
    </w:p>
    <w:p w:rsidR="000F7D05" w:rsidRPr="00EC24F4" w:rsidRDefault="000F7D05">
      <w:pPr>
        <w:spacing w:after="160"/>
        <w:ind w:firstLine="709"/>
        <w:jc w:val="both"/>
      </w:pPr>
    </w:p>
    <w:p w:rsidR="000F7D05" w:rsidRPr="00EC24F4" w:rsidRDefault="00C87EC9">
      <w:pPr>
        <w:pStyle w:val="a3"/>
        <w:numPr>
          <w:ilvl w:val="0"/>
          <w:numId w:val="1"/>
        </w:numPr>
        <w:spacing w:after="160"/>
        <w:jc w:val="both"/>
        <w:rPr>
          <w:rFonts w:ascii="Times New Roman" w:hAnsi="Times New Roman"/>
          <w:sz w:val="24"/>
          <w:szCs w:val="24"/>
        </w:rPr>
      </w:pPr>
      <w:r w:rsidRPr="00EC24F4">
        <w:rPr>
          <w:rFonts w:ascii="Times New Roman" w:hAnsi="Times New Roman"/>
          <w:sz w:val="24"/>
          <w:szCs w:val="24"/>
        </w:rPr>
        <w:t>ТРЕБОВАНИЯ К ОКАЗАНИЮ УСЛУГ</w:t>
      </w:r>
    </w:p>
    <w:p w:rsidR="000F7D05" w:rsidRPr="00EC24F4" w:rsidRDefault="00C87EC9">
      <w:pPr>
        <w:spacing w:after="160"/>
        <w:ind w:left="708"/>
        <w:jc w:val="both"/>
      </w:pPr>
      <w:r w:rsidRPr="00EC24F4">
        <w:t>3.1. Объем оказываемых услуг</w:t>
      </w:r>
    </w:p>
    <w:p w:rsidR="000F7D05" w:rsidRPr="00EC24F4" w:rsidRDefault="00C87EC9">
      <w:pPr>
        <w:spacing w:after="160"/>
        <w:ind w:firstLine="708"/>
        <w:jc w:val="both"/>
      </w:pPr>
      <w:r w:rsidRPr="00EC24F4">
        <w:lastRenderedPageBreak/>
        <w:t>Оказание финансовых услуг для нужд компаний Группы «Интер РАО» по заключению договоров предоставления денежных средств со свободным графиком их получения / договора об открытии возобновляемой кредитной линии/ договора об открытии возобновляемой рамочной кредитной линии с траншами до 90 дней и сроком до 3-х лет для целей пополнения оборотных средств, в т.ч. рефинансирования кредитов и займов, не предполагающего открытие банковского (расчетного) счета, должно осуществляться в соответствии со следующими техническими требованиями: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4394"/>
      </w:tblGrid>
      <w:tr w:rsidR="00EC24F4" w:rsidRPr="00EC24F4">
        <w:trPr>
          <w:trHeight w:val="710"/>
        </w:trPr>
        <w:tc>
          <w:tcPr>
            <w:tcW w:w="709" w:type="dxa"/>
            <w:vAlign w:val="center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center"/>
              <w:rPr>
                <w:b/>
              </w:rPr>
            </w:pPr>
            <w:r w:rsidRPr="00EC24F4">
              <w:rPr>
                <w:b/>
              </w:rPr>
              <w:t>№</w:t>
            </w:r>
          </w:p>
        </w:tc>
        <w:tc>
          <w:tcPr>
            <w:tcW w:w="5103" w:type="dxa"/>
            <w:vAlign w:val="center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center"/>
            </w:pPr>
            <w:r w:rsidRPr="00EC24F4">
              <w:rPr>
                <w:b/>
                <w:bCs/>
              </w:rPr>
              <w:t>Наименование услуги</w:t>
            </w:r>
          </w:p>
        </w:tc>
        <w:tc>
          <w:tcPr>
            <w:tcW w:w="4394" w:type="dxa"/>
            <w:vAlign w:val="center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center"/>
              <w:rPr>
                <w:b/>
              </w:rPr>
            </w:pPr>
            <w:r w:rsidRPr="00EC24F4">
              <w:rPr>
                <w:b/>
              </w:rPr>
              <w:t>Предельный тариф/Требование</w:t>
            </w:r>
          </w:p>
        </w:tc>
      </w:tr>
      <w:tr w:rsidR="00EC24F4" w:rsidRPr="00EC24F4">
        <w:trPr>
          <w:trHeight w:val="321"/>
        </w:trPr>
        <w:tc>
          <w:tcPr>
            <w:tcW w:w="709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center"/>
            </w:pPr>
            <w:r w:rsidRPr="00EC24F4">
              <w:rPr>
                <w:b/>
              </w:rPr>
              <w:t>1.</w:t>
            </w:r>
          </w:p>
        </w:tc>
        <w:tc>
          <w:tcPr>
            <w:tcW w:w="5103" w:type="dxa"/>
          </w:tcPr>
          <w:p w:rsidR="000F7D05" w:rsidRPr="00EC24F4" w:rsidRDefault="000F7D05">
            <w:pPr>
              <w:widowControl w:val="0"/>
              <w:tabs>
                <w:tab w:val="left" w:pos="0"/>
                <w:tab w:val="left" w:pos="1134"/>
              </w:tabs>
              <w:spacing w:after="120"/>
            </w:pPr>
          </w:p>
        </w:tc>
        <w:tc>
          <w:tcPr>
            <w:tcW w:w="4394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both"/>
              <w:rPr>
                <w:b/>
              </w:rPr>
            </w:pPr>
            <w:r w:rsidRPr="00EC24F4">
              <w:t>Договор предоставления денежных средств со свободным графиком их получения/договор об открытии возобновляемой кредитной линии/ договор об открытии возобновляемой рамочной кредитной линии</w:t>
            </w:r>
            <w:r w:rsidRPr="00EC24F4">
              <w:rPr>
                <w:b/>
              </w:rPr>
              <w:t xml:space="preserve"> </w:t>
            </w:r>
          </w:p>
        </w:tc>
      </w:tr>
      <w:tr w:rsidR="00EC24F4" w:rsidRPr="00EC24F4">
        <w:tc>
          <w:tcPr>
            <w:tcW w:w="709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center"/>
            </w:pPr>
            <w:r w:rsidRPr="00EC24F4">
              <w:t>1.1</w:t>
            </w:r>
          </w:p>
        </w:tc>
        <w:tc>
          <w:tcPr>
            <w:tcW w:w="5103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</w:pPr>
            <w:r w:rsidRPr="00EC24F4">
              <w:rPr>
                <w:bCs/>
              </w:rPr>
              <w:t>Лимит единовременной задолженности Заемщика по Договору</w:t>
            </w:r>
          </w:p>
        </w:tc>
        <w:tc>
          <w:tcPr>
            <w:tcW w:w="4394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both"/>
              <w:rPr>
                <w:bCs/>
              </w:rPr>
            </w:pPr>
            <w:r w:rsidRPr="00EC24F4">
              <w:rPr>
                <w:bCs/>
              </w:rPr>
              <w:t xml:space="preserve">В соответствии с Приложением 1 </w:t>
            </w:r>
          </w:p>
        </w:tc>
      </w:tr>
      <w:tr w:rsidR="00EC24F4" w:rsidRPr="00EC24F4">
        <w:tc>
          <w:tcPr>
            <w:tcW w:w="709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center"/>
            </w:pPr>
            <w:r w:rsidRPr="00EC24F4">
              <w:t>1.2</w:t>
            </w:r>
          </w:p>
        </w:tc>
        <w:tc>
          <w:tcPr>
            <w:tcW w:w="5103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</w:pPr>
            <w:r w:rsidRPr="00EC24F4">
              <w:rPr>
                <w:bCs/>
              </w:rPr>
              <w:t>Срок действия договора, мес.</w:t>
            </w:r>
          </w:p>
        </w:tc>
        <w:tc>
          <w:tcPr>
            <w:tcW w:w="4394" w:type="dxa"/>
            <w:vAlign w:val="center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both"/>
            </w:pPr>
            <w:r w:rsidRPr="00EC24F4">
              <w:t>36 (Тридцать шесть) месяцев</w:t>
            </w:r>
          </w:p>
        </w:tc>
      </w:tr>
      <w:tr w:rsidR="00EC24F4" w:rsidRPr="00EC24F4">
        <w:tc>
          <w:tcPr>
            <w:tcW w:w="709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center"/>
            </w:pPr>
            <w:r w:rsidRPr="00EC24F4">
              <w:t>1.2.1</w:t>
            </w:r>
          </w:p>
        </w:tc>
        <w:tc>
          <w:tcPr>
            <w:tcW w:w="5103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rPr>
                <w:bCs/>
              </w:rPr>
            </w:pPr>
            <w:r w:rsidRPr="00EC24F4">
              <w:rPr>
                <w:bCs/>
              </w:rPr>
              <w:t>Период наличия/доступности кредитных средств по Договору</w:t>
            </w:r>
          </w:p>
        </w:tc>
        <w:tc>
          <w:tcPr>
            <w:tcW w:w="4394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both"/>
            </w:pPr>
            <w:r w:rsidRPr="00EC24F4">
              <w:t>В течение срока действия Договора</w:t>
            </w:r>
          </w:p>
        </w:tc>
      </w:tr>
      <w:tr w:rsidR="00EC24F4" w:rsidRPr="00EC24F4">
        <w:tc>
          <w:tcPr>
            <w:tcW w:w="709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center"/>
            </w:pPr>
            <w:r w:rsidRPr="00EC24F4">
              <w:t>1.2.2</w:t>
            </w:r>
          </w:p>
        </w:tc>
        <w:tc>
          <w:tcPr>
            <w:tcW w:w="5103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rPr>
                <w:bCs/>
              </w:rPr>
            </w:pPr>
            <w:r w:rsidRPr="00EC24F4">
              <w:rPr>
                <w:bCs/>
              </w:rPr>
              <w:t>Использование денежных средств производится частями (траншами), каждый из которых может быть предоставлен на срок, дней</w:t>
            </w:r>
          </w:p>
        </w:tc>
        <w:tc>
          <w:tcPr>
            <w:tcW w:w="4394" w:type="dxa"/>
          </w:tcPr>
          <w:p w:rsidR="000F7D05" w:rsidRPr="00EC24F4" w:rsidRDefault="00C87EC9">
            <w:pPr>
              <w:ind w:left="34"/>
              <w:jc w:val="both"/>
              <w:rPr>
                <w:b/>
              </w:rPr>
            </w:pPr>
            <w:r w:rsidRPr="00EC24F4">
              <w:rPr>
                <w:bCs/>
              </w:rPr>
              <w:t>В соответствии с Приложением 1</w:t>
            </w:r>
          </w:p>
        </w:tc>
      </w:tr>
      <w:tr w:rsidR="00EC24F4" w:rsidRPr="00EC24F4">
        <w:tc>
          <w:tcPr>
            <w:tcW w:w="709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center"/>
            </w:pPr>
            <w:r w:rsidRPr="00EC24F4">
              <w:t>1.3</w:t>
            </w:r>
          </w:p>
        </w:tc>
        <w:tc>
          <w:tcPr>
            <w:tcW w:w="5103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rPr>
                <w:bCs/>
              </w:rPr>
            </w:pPr>
            <w:r w:rsidRPr="00EC24F4">
              <w:t xml:space="preserve">Техника предоставления кредита (возобновляемая кредитная линия со свободным графиком выборки и погашения кредитных ресурсов / </w:t>
            </w:r>
            <w:proofErr w:type="spellStart"/>
            <w:r w:rsidRPr="00EC24F4">
              <w:t>невозбновляемая</w:t>
            </w:r>
            <w:proofErr w:type="spellEnd"/>
            <w:r w:rsidRPr="00EC24F4">
              <w:t xml:space="preserve"> кредитная линия; кредитная линия/ рамочная кредитная линия)</w:t>
            </w:r>
          </w:p>
        </w:tc>
        <w:tc>
          <w:tcPr>
            <w:tcW w:w="4394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both"/>
            </w:pPr>
            <w:r w:rsidRPr="00EC24F4">
              <w:t>Возобновляемая кредитная линия со свободным графиком выборки и погашения кредитных средств/ Возобновляемая рамочная кредитная линия со свободным графиком выборки и погашения кредитных средств</w:t>
            </w:r>
          </w:p>
        </w:tc>
      </w:tr>
      <w:tr w:rsidR="00EC24F4" w:rsidRPr="00EC24F4">
        <w:tc>
          <w:tcPr>
            <w:tcW w:w="709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center"/>
              <w:rPr>
                <w:b/>
              </w:rPr>
            </w:pPr>
            <w:r w:rsidRPr="00EC24F4">
              <w:t>1.4</w:t>
            </w:r>
          </w:p>
        </w:tc>
        <w:tc>
          <w:tcPr>
            <w:tcW w:w="5103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</w:pPr>
            <w:r w:rsidRPr="00EC24F4">
              <w:rPr>
                <w:bCs/>
              </w:rPr>
              <w:t>Целевое использование</w:t>
            </w:r>
          </w:p>
        </w:tc>
        <w:tc>
          <w:tcPr>
            <w:tcW w:w="4394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both"/>
              <w:rPr>
                <w:bCs/>
              </w:rPr>
            </w:pPr>
            <w:r w:rsidRPr="00EC24F4">
              <w:rPr>
                <w:bCs/>
              </w:rPr>
              <w:t>Пополнение оборотных средств, в т.ч. рефинансирование кредитов и займов</w:t>
            </w:r>
          </w:p>
        </w:tc>
      </w:tr>
      <w:tr w:rsidR="00EC24F4" w:rsidRPr="00EC24F4">
        <w:tc>
          <w:tcPr>
            <w:tcW w:w="709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center"/>
            </w:pPr>
            <w:r w:rsidRPr="00EC24F4">
              <w:t>1.5</w:t>
            </w:r>
          </w:p>
        </w:tc>
        <w:tc>
          <w:tcPr>
            <w:tcW w:w="5103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rPr>
                <w:bCs/>
              </w:rPr>
            </w:pPr>
            <w:r w:rsidRPr="00EC24F4">
              <w:rPr>
                <w:bCs/>
              </w:rPr>
              <w:t>Наличие/отсутствие в Договоре следующих комиссий, штрафных санкций:</w:t>
            </w:r>
          </w:p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rPr>
                <w:bCs/>
              </w:rPr>
            </w:pPr>
            <w:r w:rsidRPr="00EC24F4">
              <w:rPr>
                <w:bCs/>
              </w:rPr>
              <w:t>- за организацию кредита;</w:t>
            </w:r>
          </w:p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rPr>
                <w:bCs/>
              </w:rPr>
            </w:pPr>
            <w:r w:rsidRPr="00EC24F4">
              <w:rPr>
                <w:bCs/>
              </w:rPr>
              <w:t>- за неиспользование кредита / части кредита;</w:t>
            </w:r>
          </w:p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rPr>
                <w:bCs/>
              </w:rPr>
            </w:pPr>
            <w:r w:rsidRPr="00EC24F4">
              <w:rPr>
                <w:bCs/>
              </w:rPr>
              <w:t>- за осуществление досрочного погашения кредита части кредита</w:t>
            </w:r>
          </w:p>
        </w:tc>
        <w:tc>
          <w:tcPr>
            <w:tcW w:w="4394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both"/>
              <w:rPr>
                <w:bCs/>
              </w:rPr>
            </w:pPr>
            <w:r w:rsidRPr="00EC24F4">
              <w:rPr>
                <w:bCs/>
              </w:rPr>
              <w:t>Отсутствие</w:t>
            </w:r>
          </w:p>
          <w:p w:rsidR="000F7D05" w:rsidRPr="00EC24F4" w:rsidRDefault="000F7D05">
            <w:pPr>
              <w:widowControl w:val="0"/>
              <w:tabs>
                <w:tab w:val="left" w:pos="0"/>
                <w:tab w:val="left" w:pos="1134"/>
              </w:tabs>
              <w:spacing w:after="120"/>
              <w:jc w:val="both"/>
              <w:rPr>
                <w:bCs/>
              </w:rPr>
            </w:pPr>
          </w:p>
          <w:p w:rsidR="000F7D05" w:rsidRPr="00EC24F4" w:rsidRDefault="000F7D05">
            <w:pPr>
              <w:widowControl w:val="0"/>
              <w:tabs>
                <w:tab w:val="left" w:pos="0"/>
                <w:tab w:val="left" w:pos="1134"/>
              </w:tabs>
              <w:spacing w:after="120"/>
              <w:jc w:val="both"/>
              <w:rPr>
                <w:bCs/>
              </w:rPr>
            </w:pPr>
          </w:p>
        </w:tc>
      </w:tr>
      <w:tr w:rsidR="00EC24F4" w:rsidRPr="00EC24F4">
        <w:tc>
          <w:tcPr>
            <w:tcW w:w="709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center"/>
            </w:pPr>
            <w:r w:rsidRPr="00EC24F4">
              <w:t>1.6</w:t>
            </w:r>
          </w:p>
        </w:tc>
        <w:tc>
          <w:tcPr>
            <w:tcW w:w="5103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rPr>
                <w:bCs/>
              </w:rPr>
            </w:pPr>
            <w:r w:rsidRPr="00EC24F4">
              <w:rPr>
                <w:bCs/>
              </w:rPr>
              <w:t>Прочие комиссии в Договоре, за исключением перечисленных в п. 1.5. настоящего Технического задания</w:t>
            </w:r>
          </w:p>
        </w:tc>
        <w:tc>
          <w:tcPr>
            <w:tcW w:w="4394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both"/>
              <w:rPr>
                <w:bCs/>
              </w:rPr>
            </w:pPr>
            <w:r w:rsidRPr="00EC24F4">
              <w:rPr>
                <w:bCs/>
              </w:rPr>
              <w:t>Нет</w:t>
            </w:r>
          </w:p>
        </w:tc>
      </w:tr>
      <w:tr w:rsidR="00EC24F4" w:rsidRPr="00EC24F4">
        <w:tc>
          <w:tcPr>
            <w:tcW w:w="709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center"/>
            </w:pPr>
            <w:r w:rsidRPr="00EC24F4">
              <w:t>1.7</w:t>
            </w:r>
          </w:p>
        </w:tc>
        <w:tc>
          <w:tcPr>
            <w:tcW w:w="5103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rPr>
                <w:bCs/>
              </w:rPr>
            </w:pPr>
            <w:r w:rsidRPr="00EC24F4">
              <w:rPr>
                <w:bCs/>
              </w:rPr>
              <w:t>Суммарный размер процентных платежей за пользование денежными средствами, рассчитанный за период 36 месяцев</w:t>
            </w:r>
          </w:p>
        </w:tc>
        <w:tc>
          <w:tcPr>
            <w:tcW w:w="4394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both"/>
              <w:rPr>
                <w:bCs/>
              </w:rPr>
            </w:pPr>
            <w:r w:rsidRPr="00EC24F4">
              <w:rPr>
                <w:bCs/>
              </w:rPr>
              <w:t>В соответствии с Приложением 1</w:t>
            </w:r>
          </w:p>
        </w:tc>
      </w:tr>
      <w:tr w:rsidR="00EC24F4" w:rsidRPr="00EC24F4">
        <w:tc>
          <w:tcPr>
            <w:tcW w:w="709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center"/>
            </w:pPr>
            <w:r w:rsidRPr="00EC24F4">
              <w:t>1.</w:t>
            </w:r>
            <w:r w:rsidRPr="00EC24F4">
              <w:rPr>
                <w:lang w:val="en-US"/>
              </w:rPr>
              <w:t>8</w:t>
            </w:r>
          </w:p>
        </w:tc>
        <w:tc>
          <w:tcPr>
            <w:tcW w:w="5103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rPr>
                <w:bCs/>
              </w:rPr>
            </w:pPr>
            <w:r w:rsidRPr="00EC24F4">
              <w:rPr>
                <w:bCs/>
              </w:rPr>
              <w:t>Порядок формирования процентной ставки</w:t>
            </w:r>
          </w:p>
        </w:tc>
        <w:tc>
          <w:tcPr>
            <w:tcW w:w="4394" w:type="dxa"/>
          </w:tcPr>
          <w:p w:rsidR="000F7D05" w:rsidRPr="00EC24F4" w:rsidRDefault="00C87EC9">
            <w:pPr>
              <w:ind w:left="-108" w:right="-6"/>
              <w:jc w:val="both"/>
              <w:rPr>
                <w:bCs/>
              </w:rPr>
            </w:pPr>
            <w:r w:rsidRPr="00EC24F4">
              <w:rPr>
                <w:bCs/>
              </w:rPr>
              <w:t xml:space="preserve"> Процентная ставка формируется для каждого транша отдельно и не превышает </w:t>
            </w:r>
            <w:proofErr w:type="gramStart"/>
            <w:r w:rsidRPr="00EC24F4">
              <w:rPr>
                <w:bCs/>
              </w:rPr>
              <w:t>фиксированного значения</w:t>
            </w:r>
            <w:proofErr w:type="gramEnd"/>
            <w:r w:rsidRPr="00EC24F4">
              <w:rPr>
                <w:bCs/>
              </w:rPr>
              <w:t xml:space="preserve"> предложенного Участником</w:t>
            </w:r>
          </w:p>
        </w:tc>
      </w:tr>
      <w:tr w:rsidR="00EC24F4" w:rsidRPr="00EC24F4">
        <w:tc>
          <w:tcPr>
            <w:tcW w:w="709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center"/>
            </w:pPr>
            <w:r w:rsidRPr="00EC24F4">
              <w:lastRenderedPageBreak/>
              <w:t>1.</w:t>
            </w:r>
            <w:r w:rsidRPr="00EC24F4">
              <w:rPr>
                <w:lang w:val="en-US"/>
              </w:rPr>
              <w:t>9</w:t>
            </w:r>
          </w:p>
        </w:tc>
        <w:tc>
          <w:tcPr>
            <w:tcW w:w="5103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rPr>
                <w:bCs/>
              </w:rPr>
            </w:pPr>
            <w:r w:rsidRPr="00EC24F4">
              <w:rPr>
                <w:bCs/>
              </w:rPr>
              <w:t>Обеспечение/ поручительство/ залог по Договору</w:t>
            </w:r>
          </w:p>
        </w:tc>
        <w:tc>
          <w:tcPr>
            <w:tcW w:w="4394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both"/>
              <w:rPr>
                <w:bCs/>
              </w:rPr>
            </w:pPr>
            <w:r w:rsidRPr="00EC24F4">
              <w:rPr>
                <w:bCs/>
              </w:rPr>
              <w:t>Нет</w:t>
            </w:r>
          </w:p>
        </w:tc>
      </w:tr>
      <w:tr w:rsidR="00EC24F4" w:rsidRPr="00EC24F4">
        <w:tc>
          <w:tcPr>
            <w:tcW w:w="709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center"/>
            </w:pPr>
            <w:r w:rsidRPr="00EC24F4">
              <w:t>1.1</w:t>
            </w:r>
            <w:r w:rsidRPr="00EC24F4">
              <w:rPr>
                <w:lang w:val="en-US"/>
              </w:rPr>
              <w:t>0</w:t>
            </w:r>
          </w:p>
        </w:tc>
        <w:tc>
          <w:tcPr>
            <w:tcW w:w="5103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rPr>
                <w:bCs/>
              </w:rPr>
            </w:pPr>
            <w:r w:rsidRPr="00EC24F4">
              <w:rPr>
                <w:bCs/>
              </w:rPr>
              <w:t xml:space="preserve">Возможность снижения процентной ставки за пользование денежными средствами по Договору при изменении </w:t>
            </w:r>
            <w:r w:rsidRPr="00EC24F4">
              <w:t>ситуации на финансовых рынках и/или понижения ключевой ставки Банка России</w:t>
            </w:r>
          </w:p>
        </w:tc>
        <w:tc>
          <w:tcPr>
            <w:tcW w:w="4394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both"/>
              <w:rPr>
                <w:bCs/>
              </w:rPr>
            </w:pPr>
            <w:r w:rsidRPr="00EC24F4">
              <w:rPr>
                <w:bCs/>
              </w:rPr>
              <w:t>Есть</w:t>
            </w:r>
          </w:p>
          <w:p w:rsidR="000F7D05" w:rsidRPr="00EC24F4" w:rsidRDefault="000F7D05">
            <w:pPr>
              <w:widowControl w:val="0"/>
              <w:tabs>
                <w:tab w:val="left" w:pos="0"/>
                <w:tab w:val="left" w:pos="1134"/>
              </w:tabs>
              <w:spacing w:after="120"/>
              <w:jc w:val="both"/>
              <w:rPr>
                <w:bCs/>
              </w:rPr>
            </w:pPr>
          </w:p>
        </w:tc>
      </w:tr>
      <w:tr w:rsidR="00EC24F4" w:rsidRPr="00EC24F4">
        <w:tc>
          <w:tcPr>
            <w:tcW w:w="709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center"/>
            </w:pPr>
            <w:r w:rsidRPr="00EC24F4">
              <w:t>1.1</w:t>
            </w:r>
            <w:r w:rsidRPr="00EC24F4">
              <w:rPr>
                <w:lang w:val="en-US"/>
              </w:rPr>
              <w:t>1</w:t>
            </w:r>
          </w:p>
        </w:tc>
        <w:tc>
          <w:tcPr>
            <w:tcW w:w="5103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rPr>
                <w:bCs/>
              </w:rPr>
            </w:pPr>
            <w:r w:rsidRPr="00EC24F4">
              <w:rPr>
                <w:bCs/>
              </w:rPr>
              <w:t xml:space="preserve">Возможность повышения процентной ставки за пользование денежными средствами по Договору при изменении </w:t>
            </w:r>
            <w:r w:rsidRPr="00EC24F4">
              <w:t>ситуации на финансовых рынках и/или повышением ключевой ставки Банка России</w:t>
            </w:r>
          </w:p>
        </w:tc>
        <w:tc>
          <w:tcPr>
            <w:tcW w:w="4394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both"/>
              <w:rPr>
                <w:bCs/>
              </w:rPr>
            </w:pPr>
            <w:r w:rsidRPr="00EC24F4">
              <w:rPr>
                <w:bCs/>
              </w:rPr>
              <w:t xml:space="preserve">Нет/есть </w:t>
            </w:r>
          </w:p>
        </w:tc>
      </w:tr>
      <w:tr w:rsidR="00EC24F4" w:rsidRPr="00EC24F4">
        <w:tc>
          <w:tcPr>
            <w:tcW w:w="709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center"/>
            </w:pPr>
            <w:r w:rsidRPr="00EC24F4">
              <w:t>1.1</w:t>
            </w:r>
            <w:r w:rsidRPr="00EC24F4">
              <w:rPr>
                <w:lang w:val="en-US"/>
              </w:rPr>
              <w:t>2</w:t>
            </w:r>
          </w:p>
        </w:tc>
        <w:tc>
          <w:tcPr>
            <w:tcW w:w="5103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rPr>
                <w:bCs/>
              </w:rPr>
            </w:pPr>
            <w:r w:rsidRPr="00EC24F4">
              <w:rPr>
                <w:bCs/>
              </w:rPr>
              <w:t>Возможность досрочного погашения ссудной задолженности Заемщика по Договору</w:t>
            </w:r>
          </w:p>
        </w:tc>
        <w:tc>
          <w:tcPr>
            <w:tcW w:w="4394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both"/>
              <w:rPr>
                <w:bCs/>
              </w:rPr>
            </w:pPr>
            <w:r w:rsidRPr="00EC24F4">
              <w:rPr>
                <w:bCs/>
              </w:rPr>
              <w:t>Есть</w:t>
            </w:r>
          </w:p>
        </w:tc>
      </w:tr>
      <w:tr w:rsidR="00EC24F4" w:rsidRPr="00EC24F4">
        <w:tc>
          <w:tcPr>
            <w:tcW w:w="709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center"/>
            </w:pPr>
            <w:r w:rsidRPr="00EC24F4">
              <w:t>1.1</w:t>
            </w:r>
            <w:r w:rsidRPr="00EC24F4">
              <w:rPr>
                <w:lang w:val="en-US"/>
              </w:rPr>
              <w:t>3</w:t>
            </w:r>
          </w:p>
        </w:tc>
        <w:tc>
          <w:tcPr>
            <w:tcW w:w="5103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rPr>
                <w:bCs/>
              </w:rPr>
            </w:pPr>
            <w:r w:rsidRPr="00EC24F4">
              <w:rPr>
                <w:bCs/>
              </w:rPr>
              <w:t>Обязательства Заемщика по поддержанию поступлений на расчетный счет Заемщика, открытый в банке Кредитора</w:t>
            </w:r>
          </w:p>
        </w:tc>
        <w:tc>
          <w:tcPr>
            <w:tcW w:w="4394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both"/>
              <w:rPr>
                <w:bCs/>
              </w:rPr>
            </w:pPr>
            <w:r w:rsidRPr="00EC24F4">
              <w:rPr>
                <w:bCs/>
              </w:rPr>
              <w:t>Нет</w:t>
            </w:r>
          </w:p>
        </w:tc>
      </w:tr>
      <w:tr w:rsidR="00EC24F4" w:rsidRPr="00EC24F4">
        <w:tc>
          <w:tcPr>
            <w:tcW w:w="709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center"/>
            </w:pPr>
            <w:r w:rsidRPr="00EC24F4">
              <w:t>1.1</w:t>
            </w:r>
            <w:r w:rsidRPr="00EC24F4">
              <w:rPr>
                <w:lang w:val="en-US"/>
              </w:rPr>
              <w:t>4</w:t>
            </w:r>
          </w:p>
        </w:tc>
        <w:tc>
          <w:tcPr>
            <w:tcW w:w="5103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rPr>
                <w:bCs/>
              </w:rPr>
            </w:pPr>
            <w:r w:rsidRPr="00EC24F4">
              <w:rPr>
                <w:bCs/>
              </w:rPr>
              <w:t>Наличие финансовых ковенант</w:t>
            </w:r>
          </w:p>
        </w:tc>
        <w:tc>
          <w:tcPr>
            <w:tcW w:w="4394" w:type="dxa"/>
          </w:tcPr>
          <w:p w:rsidR="000F7D05" w:rsidRPr="00EC24F4" w:rsidRDefault="00C87EC9">
            <w:pPr>
              <w:ind w:right="-6"/>
              <w:jc w:val="both"/>
              <w:rPr>
                <w:bCs/>
              </w:rPr>
            </w:pPr>
            <w:r w:rsidRPr="00EC24F4">
              <w:rPr>
                <w:bCs/>
              </w:rPr>
              <w:t>Нет</w:t>
            </w:r>
          </w:p>
        </w:tc>
      </w:tr>
      <w:tr w:rsidR="00EC24F4" w:rsidRPr="00EC24F4">
        <w:tc>
          <w:tcPr>
            <w:tcW w:w="709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center"/>
            </w:pPr>
            <w:r w:rsidRPr="00EC24F4">
              <w:t>1.1</w:t>
            </w:r>
            <w:r w:rsidRPr="00EC24F4">
              <w:rPr>
                <w:lang w:val="en-US"/>
              </w:rPr>
              <w:t>5</w:t>
            </w:r>
          </w:p>
        </w:tc>
        <w:tc>
          <w:tcPr>
            <w:tcW w:w="5103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rPr>
                <w:bCs/>
              </w:rPr>
            </w:pPr>
            <w:r w:rsidRPr="00EC24F4">
              <w:rPr>
                <w:bCs/>
              </w:rPr>
              <w:t>Порядок начисления и оплаты процентов по ссудной задолженности Заемщика по Договору</w:t>
            </w:r>
          </w:p>
        </w:tc>
        <w:tc>
          <w:tcPr>
            <w:tcW w:w="4394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both"/>
              <w:rPr>
                <w:bCs/>
              </w:rPr>
            </w:pPr>
            <w:r w:rsidRPr="00EC24F4">
              <w:rPr>
                <w:bCs/>
              </w:rPr>
              <w:t>Ежемесячно/ежеквартально</w:t>
            </w:r>
          </w:p>
        </w:tc>
      </w:tr>
      <w:tr w:rsidR="00EC24F4" w:rsidRPr="00EC24F4">
        <w:tc>
          <w:tcPr>
            <w:tcW w:w="709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center"/>
            </w:pPr>
            <w:r w:rsidRPr="00EC24F4">
              <w:t>1.1</w:t>
            </w:r>
            <w:r w:rsidRPr="00EC24F4">
              <w:rPr>
                <w:lang w:val="en-US"/>
              </w:rPr>
              <w:t>6</w:t>
            </w:r>
          </w:p>
        </w:tc>
        <w:tc>
          <w:tcPr>
            <w:tcW w:w="5103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rPr>
                <w:bCs/>
              </w:rPr>
            </w:pPr>
            <w:r w:rsidRPr="00EC24F4">
              <w:rPr>
                <w:bCs/>
              </w:rPr>
              <w:t>Порядок учета погашения ссудной задолженности текущим днем</w:t>
            </w:r>
          </w:p>
        </w:tc>
        <w:tc>
          <w:tcPr>
            <w:tcW w:w="4394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both"/>
              <w:rPr>
                <w:bCs/>
              </w:rPr>
            </w:pPr>
            <w:r w:rsidRPr="00EC24F4">
              <w:rPr>
                <w:bCs/>
              </w:rPr>
              <w:t>Операционное время / по окончании операционного времени</w:t>
            </w:r>
          </w:p>
        </w:tc>
      </w:tr>
      <w:tr w:rsidR="00EC24F4" w:rsidRPr="00EC24F4">
        <w:trPr>
          <w:trHeight w:val="1837"/>
        </w:trPr>
        <w:tc>
          <w:tcPr>
            <w:tcW w:w="709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center"/>
            </w:pPr>
            <w:r w:rsidRPr="00EC24F4">
              <w:rPr>
                <w:lang w:val="en-US"/>
              </w:rPr>
              <w:t>1</w:t>
            </w:r>
            <w:r w:rsidRPr="00EC24F4">
              <w:t>.1</w:t>
            </w:r>
            <w:r w:rsidRPr="00EC24F4">
              <w:rPr>
                <w:lang w:val="en-US"/>
              </w:rPr>
              <w:t>7</w:t>
            </w:r>
          </w:p>
        </w:tc>
        <w:tc>
          <w:tcPr>
            <w:tcW w:w="5103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rPr>
                <w:bCs/>
              </w:rPr>
            </w:pPr>
            <w:r w:rsidRPr="00EC24F4">
              <w:rPr>
                <w:bCs/>
              </w:rPr>
              <w:t>Дополнительные условия</w:t>
            </w:r>
          </w:p>
        </w:tc>
        <w:tc>
          <w:tcPr>
            <w:tcW w:w="4394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both"/>
              <w:rPr>
                <w:bCs/>
              </w:rPr>
            </w:pPr>
            <w:r w:rsidRPr="00EC24F4">
              <w:rPr>
                <w:bCs/>
              </w:rPr>
              <w:t>Обязательное требование – раскрытие информации о цепочке собственников, включая бенефициаров (в т.ч. конечных) с предоставлением подтверждающих документов и информации о каких-либо изменениях сведений в цепочке собственников, включая бенефициаров (в т.ч. конечных) с предоставлением подтверждающих документов в течение 5 календарных дней с даты таких изменений.</w:t>
            </w:r>
          </w:p>
        </w:tc>
      </w:tr>
      <w:tr w:rsidR="00EC24F4" w:rsidRPr="00EC24F4">
        <w:trPr>
          <w:trHeight w:val="1077"/>
        </w:trPr>
        <w:tc>
          <w:tcPr>
            <w:tcW w:w="709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center"/>
            </w:pPr>
            <w:r w:rsidRPr="00EC24F4">
              <w:t>1.1</w:t>
            </w:r>
            <w:r w:rsidRPr="00EC24F4">
              <w:rPr>
                <w:lang w:val="en-US"/>
              </w:rPr>
              <w:t>8</w:t>
            </w:r>
          </w:p>
        </w:tc>
        <w:tc>
          <w:tcPr>
            <w:tcW w:w="5103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rPr>
                <w:bCs/>
              </w:rPr>
            </w:pPr>
            <w:r w:rsidRPr="00EC24F4">
              <w:rPr>
                <w:bCs/>
              </w:rPr>
              <w:t>Открытие расчетного (банковского) счета при выдаче денежных средств по Договору (в валюте РФ) с предоставлением услуги по дистанционному банковскому обслуживанию с использованием системы Банк Клиент/ Интернет Клиент</w:t>
            </w:r>
          </w:p>
        </w:tc>
        <w:tc>
          <w:tcPr>
            <w:tcW w:w="4394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both"/>
              <w:rPr>
                <w:bCs/>
              </w:rPr>
            </w:pPr>
            <w:r w:rsidRPr="00EC24F4">
              <w:rPr>
                <w:bCs/>
              </w:rPr>
              <w:t>Нет</w:t>
            </w:r>
          </w:p>
        </w:tc>
      </w:tr>
      <w:tr w:rsidR="00EC24F4" w:rsidRPr="00EC24F4">
        <w:trPr>
          <w:trHeight w:val="375"/>
        </w:trPr>
        <w:tc>
          <w:tcPr>
            <w:tcW w:w="709" w:type="dxa"/>
          </w:tcPr>
          <w:p w:rsidR="000F7D05" w:rsidRPr="00EC24F4" w:rsidRDefault="00C87EC9">
            <w:pPr>
              <w:widowControl w:val="0"/>
              <w:tabs>
                <w:tab w:val="left" w:pos="1134"/>
              </w:tabs>
              <w:spacing w:after="120"/>
              <w:jc w:val="center"/>
            </w:pPr>
            <w:r w:rsidRPr="00EC24F4">
              <w:t>1.</w:t>
            </w:r>
            <w:r w:rsidRPr="00EC24F4">
              <w:rPr>
                <w:lang w:val="en-US"/>
              </w:rPr>
              <w:t>19</w:t>
            </w:r>
          </w:p>
        </w:tc>
        <w:tc>
          <w:tcPr>
            <w:tcW w:w="5103" w:type="dxa"/>
          </w:tcPr>
          <w:p w:rsidR="000F7D05" w:rsidRPr="00EC24F4" w:rsidRDefault="00C87EC9">
            <w:pPr>
              <w:widowControl w:val="0"/>
              <w:tabs>
                <w:tab w:val="left" w:pos="171"/>
                <w:tab w:val="left" w:pos="1134"/>
              </w:tabs>
              <w:spacing w:after="120"/>
              <w:rPr>
                <w:bCs/>
              </w:rPr>
            </w:pPr>
            <w:r w:rsidRPr="00EC24F4">
              <w:rPr>
                <w:bCs/>
              </w:rPr>
              <w:t>Прочие положения:</w:t>
            </w:r>
          </w:p>
        </w:tc>
        <w:tc>
          <w:tcPr>
            <w:tcW w:w="4394" w:type="dxa"/>
          </w:tcPr>
          <w:p w:rsidR="000F7D05" w:rsidRPr="00EC24F4" w:rsidRDefault="000F7D05">
            <w:pPr>
              <w:widowControl w:val="0"/>
              <w:tabs>
                <w:tab w:val="left" w:pos="0"/>
                <w:tab w:val="left" w:pos="1134"/>
              </w:tabs>
              <w:spacing w:after="120"/>
              <w:jc w:val="both"/>
              <w:rPr>
                <w:bCs/>
              </w:rPr>
            </w:pPr>
          </w:p>
        </w:tc>
      </w:tr>
      <w:tr w:rsidR="00EC24F4" w:rsidRPr="00EC24F4">
        <w:trPr>
          <w:trHeight w:val="566"/>
        </w:trPr>
        <w:tc>
          <w:tcPr>
            <w:tcW w:w="709" w:type="dxa"/>
          </w:tcPr>
          <w:p w:rsidR="000F7D05" w:rsidRPr="00EC24F4" w:rsidRDefault="00C87EC9">
            <w:pPr>
              <w:widowControl w:val="0"/>
              <w:tabs>
                <w:tab w:val="left" w:pos="1134"/>
              </w:tabs>
              <w:spacing w:after="120"/>
              <w:ind w:hanging="108"/>
              <w:jc w:val="center"/>
            </w:pPr>
            <w:r w:rsidRPr="00EC24F4">
              <w:t>1.</w:t>
            </w:r>
            <w:r w:rsidRPr="00EC24F4">
              <w:rPr>
                <w:lang w:val="en-US"/>
              </w:rPr>
              <w:t>19</w:t>
            </w:r>
            <w:r w:rsidRPr="00EC24F4">
              <w:t>.1</w:t>
            </w:r>
          </w:p>
        </w:tc>
        <w:tc>
          <w:tcPr>
            <w:tcW w:w="5103" w:type="dxa"/>
          </w:tcPr>
          <w:p w:rsidR="000F7D05" w:rsidRPr="00EC24F4" w:rsidRDefault="00C87EC9">
            <w:pPr>
              <w:widowControl w:val="0"/>
              <w:tabs>
                <w:tab w:val="left" w:pos="171"/>
                <w:tab w:val="left" w:pos="1134"/>
              </w:tabs>
              <w:spacing w:after="120"/>
              <w:rPr>
                <w:bCs/>
              </w:rPr>
            </w:pPr>
            <w:r w:rsidRPr="00EC24F4">
              <w:rPr>
                <w:bCs/>
              </w:rPr>
              <w:t xml:space="preserve">Возможность заключения дополнительного соглашения к договору расчетного (банковского) счета, открытого Заемщику в банке Кредитора, и/или возможность </w:t>
            </w:r>
            <w:proofErr w:type="spellStart"/>
            <w:r w:rsidRPr="00EC24F4">
              <w:rPr>
                <w:bCs/>
              </w:rPr>
              <w:t>безакцептного</w:t>
            </w:r>
            <w:proofErr w:type="spellEnd"/>
            <w:r w:rsidRPr="00EC24F4">
              <w:rPr>
                <w:bCs/>
              </w:rPr>
              <w:t xml:space="preserve"> списания денежных средств со счета Заемщика в целях погашения задолженности перед Кредитором</w:t>
            </w:r>
          </w:p>
        </w:tc>
        <w:tc>
          <w:tcPr>
            <w:tcW w:w="4394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both"/>
              <w:rPr>
                <w:bCs/>
              </w:rPr>
            </w:pPr>
            <w:r w:rsidRPr="00EC24F4">
              <w:rPr>
                <w:bCs/>
              </w:rPr>
              <w:t>Есть (в случае наличия открытого расчетного счета) / нет</w:t>
            </w:r>
          </w:p>
        </w:tc>
      </w:tr>
      <w:tr w:rsidR="00EC24F4" w:rsidRPr="00EC24F4">
        <w:trPr>
          <w:trHeight w:val="274"/>
        </w:trPr>
        <w:tc>
          <w:tcPr>
            <w:tcW w:w="709" w:type="dxa"/>
          </w:tcPr>
          <w:p w:rsidR="000F7D05" w:rsidRPr="00EC24F4" w:rsidRDefault="00C87EC9">
            <w:pPr>
              <w:widowControl w:val="0"/>
              <w:tabs>
                <w:tab w:val="left" w:pos="1134"/>
              </w:tabs>
              <w:spacing w:after="120"/>
              <w:ind w:hanging="108"/>
              <w:jc w:val="center"/>
            </w:pPr>
            <w:r w:rsidRPr="00EC24F4">
              <w:t>1.</w:t>
            </w:r>
            <w:r w:rsidRPr="00EC24F4">
              <w:rPr>
                <w:lang w:val="en-US"/>
              </w:rPr>
              <w:t>19</w:t>
            </w:r>
            <w:r w:rsidRPr="00EC24F4">
              <w:t>.2</w:t>
            </w:r>
          </w:p>
        </w:tc>
        <w:tc>
          <w:tcPr>
            <w:tcW w:w="5103" w:type="dxa"/>
          </w:tcPr>
          <w:p w:rsidR="000F7D05" w:rsidRPr="00EC24F4" w:rsidRDefault="00C87EC9">
            <w:pPr>
              <w:widowControl w:val="0"/>
              <w:tabs>
                <w:tab w:val="left" w:pos="171"/>
                <w:tab w:val="left" w:pos="1134"/>
              </w:tabs>
              <w:spacing w:after="120"/>
              <w:rPr>
                <w:bCs/>
              </w:rPr>
            </w:pPr>
            <w:r w:rsidRPr="00EC24F4">
              <w:rPr>
                <w:bCs/>
              </w:rPr>
              <w:t xml:space="preserve">Возможность заключения дополнительных соглашений к договорам расчетного </w:t>
            </w:r>
            <w:r w:rsidRPr="00EC24F4">
              <w:rPr>
                <w:bCs/>
              </w:rPr>
              <w:lastRenderedPageBreak/>
              <w:t xml:space="preserve">(банковского) счета, открытых Заемщику в прочих банках, о возможности </w:t>
            </w:r>
            <w:proofErr w:type="spellStart"/>
            <w:r w:rsidRPr="00EC24F4">
              <w:rPr>
                <w:bCs/>
              </w:rPr>
              <w:t>безакцептного</w:t>
            </w:r>
            <w:proofErr w:type="spellEnd"/>
            <w:r w:rsidRPr="00EC24F4">
              <w:rPr>
                <w:bCs/>
              </w:rPr>
              <w:t xml:space="preserve"> списания денежных средств со счета Заемщика в целях погашения задолженности перед Кредитором</w:t>
            </w:r>
          </w:p>
        </w:tc>
        <w:tc>
          <w:tcPr>
            <w:tcW w:w="4394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both"/>
              <w:rPr>
                <w:bCs/>
              </w:rPr>
            </w:pPr>
            <w:r w:rsidRPr="00EC24F4">
              <w:rPr>
                <w:bCs/>
              </w:rPr>
              <w:lastRenderedPageBreak/>
              <w:t>Нет</w:t>
            </w:r>
          </w:p>
        </w:tc>
      </w:tr>
      <w:tr w:rsidR="00EC24F4" w:rsidRPr="00EC24F4">
        <w:trPr>
          <w:trHeight w:val="274"/>
        </w:trPr>
        <w:tc>
          <w:tcPr>
            <w:tcW w:w="709" w:type="dxa"/>
          </w:tcPr>
          <w:p w:rsidR="000F7D05" w:rsidRPr="00EC24F4" w:rsidRDefault="00C87EC9">
            <w:pPr>
              <w:widowControl w:val="0"/>
              <w:tabs>
                <w:tab w:val="left" w:pos="1134"/>
              </w:tabs>
              <w:spacing w:after="120"/>
              <w:ind w:hanging="108"/>
              <w:jc w:val="center"/>
            </w:pPr>
            <w:r w:rsidRPr="00EC24F4">
              <w:t>1.2</w:t>
            </w:r>
            <w:r w:rsidRPr="00EC24F4">
              <w:rPr>
                <w:lang w:val="en-US"/>
              </w:rPr>
              <w:t>0</w:t>
            </w:r>
          </w:p>
        </w:tc>
        <w:tc>
          <w:tcPr>
            <w:tcW w:w="5103" w:type="dxa"/>
          </w:tcPr>
          <w:p w:rsidR="000F7D05" w:rsidRPr="00EC24F4" w:rsidRDefault="00C87EC9">
            <w:pPr>
              <w:widowControl w:val="0"/>
              <w:tabs>
                <w:tab w:val="left" w:pos="171"/>
                <w:tab w:val="left" w:pos="1134"/>
              </w:tabs>
              <w:spacing w:after="120"/>
              <w:rPr>
                <w:bCs/>
              </w:rPr>
            </w:pPr>
            <w:r w:rsidRPr="00EC24F4">
              <w:rPr>
                <w:bCs/>
              </w:rPr>
              <w:t>Количество победителей</w:t>
            </w:r>
          </w:p>
        </w:tc>
        <w:tc>
          <w:tcPr>
            <w:tcW w:w="4394" w:type="dxa"/>
          </w:tcPr>
          <w:p w:rsidR="000F7D05" w:rsidRPr="00EC24F4" w:rsidRDefault="00C87EC9">
            <w:pPr>
              <w:widowControl w:val="0"/>
              <w:tabs>
                <w:tab w:val="left" w:pos="0"/>
                <w:tab w:val="left" w:pos="1134"/>
              </w:tabs>
              <w:spacing w:after="120"/>
              <w:jc w:val="both"/>
              <w:rPr>
                <w:bCs/>
              </w:rPr>
            </w:pPr>
            <w:r w:rsidRPr="00EC24F4">
              <w:rPr>
                <w:bCs/>
              </w:rPr>
              <w:t>Не более 3 (трех) победителей</w:t>
            </w:r>
          </w:p>
        </w:tc>
      </w:tr>
      <w:tr w:rsidR="000F7D05" w:rsidRPr="00EC24F4">
        <w:trPr>
          <w:trHeight w:val="274"/>
        </w:trPr>
        <w:tc>
          <w:tcPr>
            <w:tcW w:w="709" w:type="dxa"/>
          </w:tcPr>
          <w:p w:rsidR="000F7D05" w:rsidRPr="00EC24F4" w:rsidRDefault="00C87EC9">
            <w:pPr>
              <w:widowControl w:val="0"/>
              <w:tabs>
                <w:tab w:val="left" w:pos="1134"/>
              </w:tabs>
              <w:spacing w:after="120"/>
              <w:ind w:hanging="108"/>
              <w:jc w:val="center"/>
            </w:pPr>
            <w:r w:rsidRPr="00EC24F4">
              <w:t>1.2</w:t>
            </w:r>
            <w:r w:rsidRPr="00EC24F4">
              <w:rPr>
                <w:lang w:val="en-US"/>
              </w:rPr>
              <w:t>1</w:t>
            </w:r>
          </w:p>
        </w:tc>
        <w:tc>
          <w:tcPr>
            <w:tcW w:w="5103" w:type="dxa"/>
          </w:tcPr>
          <w:p w:rsidR="000F7D05" w:rsidRPr="00EC24F4" w:rsidRDefault="00C87EC9">
            <w:pPr>
              <w:widowControl w:val="0"/>
              <w:tabs>
                <w:tab w:val="left" w:pos="171"/>
                <w:tab w:val="left" w:pos="1134"/>
              </w:tabs>
              <w:spacing w:after="120"/>
              <w:rPr>
                <w:bCs/>
              </w:rPr>
            </w:pPr>
            <w:r w:rsidRPr="00EC24F4">
              <w:rPr>
                <w:bCs/>
              </w:rPr>
              <w:t>Перечень предоставляемых Заемщиком финансовых документов</w:t>
            </w:r>
          </w:p>
        </w:tc>
        <w:tc>
          <w:tcPr>
            <w:tcW w:w="4394" w:type="dxa"/>
          </w:tcPr>
          <w:p w:rsidR="000F7D05" w:rsidRPr="00EC24F4" w:rsidRDefault="00C87EC9">
            <w:pPr>
              <w:widowControl w:val="0"/>
              <w:numPr>
                <w:ilvl w:val="0"/>
                <w:numId w:val="5"/>
              </w:numPr>
              <w:jc w:val="both"/>
              <w:rPr>
                <w:iCs/>
              </w:rPr>
            </w:pPr>
            <w:r w:rsidRPr="00EC24F4">
              <w:rPr>
                <w:iCs/>
              </w:rPr>
              <w:t>бухгалтерская (финансовая) отчетность в составе и по формам, установленным законодательством Российской Федерации, с отметкой о способе отправления документа в подразделение ФНС России (для годовой отчетности), заверенная руководителем и печатью Заемщика, и аудиторское заключение (или его итоговая часть) (при обязательном по законодательству Российской Федерации аудите бухгалтерской (финансовой) отчетности) по итогам завершенного финансового года;</w:t>
            </w:r>
          </w:p>
          <w:p w:rsidR="000F7D05" w:rsidRPr="00EC24F4" w:rsidRDefault="00C87EC9">
            <w:pPr>
              <w:keepNext/>
              <w:numPr>
                <w:ilvl w:val="0"/>
                <w:numId w:val="5"/>
              </w:numPr>
              <w:jc w:val="both"/>
            </w:pPr>
            <w:r w:rsidRPr="00EC24F4">
              <w:t>расшифровка кредиторской и дебиторской задолженности с разбивкой на задолженность, платежи по которой ожидаются в течение 12 (Двенадцать) месяцев, а также более чем через 12 (Двенадцать) месяцев, с указанием наименований кредиторов, должников, суммы задолженности, в том числе просроченной;</w:t>
            </w:r>
          </w:p>
          <w:p w:rsidR="000F7D05" w:rsidRPr="00EC24F4" w:rsidRDefault="00C87EC9">
            <w:pPr>
              <w:widowControl w:val="0"/>
              <w:numPr>
                <w:ilvl w:val="0"/>
                <w:numId w:val="5"/>
              </w:numPr>
              <w:jc w:val="both"/>
              <w:rPr>
                <w:iCs/>
              </w:rPr>
            </w:pPr>
            <w:r w:rsidRPr="00EC24F4">
              <w:rPr>
                <w:iCs/>
              </w:rPr>
              <w:t>расшифровка краткосрочных и долгосрочных финансовых вложений с указанием видов, сумм вложений, наименований организаций и предприятий;</w:t>
            </w:r>
          </w:p>
          <w:p w:rsidR="000F7D05" w:rsidRPr="00EC24F4" w:rsidRDefault="00C87EC9">
            <w:pPr>
              <w:widowControl w:val="0"/>
              <w:numPr>
                <w:ilvl w:val="0"/>
                <w:numId w:val="5"/>
              </w:numPr>
              <w:jc w:val="both"/>
              <w:rPr>
                <w:iCs/>
              </w:rPr>
            </w:pPr>
            <w:r w:rsidRPr="00EC24F4">
              <w:rPr>
                <w:iCs/>
              </w:rPr>
              <w:t>расшифровка задолженности по долгосрочным и краткосрочным кредитам и займам (включая вексельные и облигационные) с указанием кредиторов, суммы задолженности, срока кредитования;</w:t>
            </w:r>
          </w:p>
          <w:p w:rsidR="000F7D05" w:rsidRPr="00EC24F4" w:rsidRDefault="00C87EC9">
            <w:pPr>
              <w:widowControl w:val="0"/>
              <w:numPr>
                <w:ilvl w:val="0"/>
                <w:numId w:val="5"/>
              </w:numPr>
              <w:jc w:val="both"/>
              <w:rPr>
                <w:iCs/>
              </w:rPr>
            </w:pPr>
            <w:r w:rsidRPr="00EC24F4">
              <w:rPr>
                <w:iCs/>
              </w:rPr>
              <w:t>расшифровка полученных обеспечений (с указанием от кого и в пользу кого получено) и выданных обеспечений (с указанием за кого и в пользу кого выдано);</w:t>
            </w:r>
          </w:p>
          <w:p w:rsidR="000F7D05" w:rsidRPr="00EC24F4" w:rsidRDefault="00C87EC9">
            <w:pPr>
              <w:widowControl w:val="0"/>
              <w:numPr>
                <w:ilvl w:val="0"/>
                <w:numId w:val="5"/>
              </w:numPr>
              <w:spacing w:line="22" w:lineRule="atLeast"/>
              <w:ind w:left="714" w:hanging="357"/>
              <w:jc w:val="both"/>
            </w:pPr>
            <w:r w:rsidRPr="00EC24F4">
              <w:t>справка по амортизации за отчетный календарный квартал;</w:t>
            </w:r>
          </w:p>
          <w:p w:rsidR="000F7D05" w:rsidRPr="00EC24F4" w:rsidRDefault="00C87EC9">
            <w:pPr>
              <w:keepNext/>
              <w:numPr>
                <w:ilvl w:val="0"/>
                <w:numId w:val="5"/>
              </w:numPr>
              <w:ind w:left="714" w:hanging="357"/>
              <w:jc w:val="both"/>
            </w:pPr>
            <w:r w:rsidRPr="00EC24F4">
              <w:lastRenderedPageBreak/>
              <w:t>справка организации об отсутствии просроченных обязательств Заемщика перед кредитными организациями, об отсутствии очереди не исполненных в срок распоряжений по счетам/ ареста счета(-</w:t>
            </w:r>
            <w:proofErr w:type="spellStart"/>
            <w:r w:rsidRPr="00EC24F4">
              <w:t>ов</w:t>
            </w:r>
            <w:proofErr w:type="spellEnd"/>
            <w:r w:rsidRPr="00EC24F4">
              <w:t>) Заемщика;</w:t>
            </w:r>
          </w:p>
          <w:p w:rsidR="000F7D05" w:rsidRPr="00EC24F4" w:rsidRDefault="00C87EC9">
            <w:pPr>
              <w:keepNext/>
              <w:numPr>
                <w:ilvl w:val="0"/>
                <w:numId w:val="5"/>
              </w:numPr>
              <w:ind w:left="714" w:hanging="357"/>
              <w:jc w:val="both"/>
            </w:pPr>
            <w:r w:rsidRPr="00EC24F4">
              <w:t xml:space="preserve">справка организации по основным р/счетам и об отсутствии задолженности перед другими банками, </w:t>
            </w:r>
            <w:r w:rsidRPr="00EC24F4">
              <w:rPr>
                <w:iCs/>
              </w:rPr>
              <w:t>заверенная руководителем и печатью Заемщика.</w:t>
            </w:r>
            <w:r w:rsidRPr="00EC24F4">
              <w:t xml:space="preserve"> </w:t>
            </w:r>
          </w:p>
        </w:tc>
      </w:tr>
    </w:tbl>
    <w:p w:rsidR="000F7D05" w:rsidRPr="00EC24F4" w:rsidRDefault="000F7D05">
      <w:pPr>
        <w:spacing w:after="160"/>
        <w:ind w:left="708"/>
        <w:jc w:val="both"/>
      </w:pPr>
    </w:p>
    <w:p w:rsidR="000F7D05" w:rsidRPr="00EC24F4" w:rsidRDefault="00C87EC9">
      <w:pPr>
        <w:spacing w:after="160"/>
        <w:ind w:left="708"/>
        <w:jc w:val="both"/>
      </w:pPr>
      <w:r w:rsidRPr="00EC24F4">
        <w:t>3.2. Требования к последовательности этапов оказания услуг</w:t>
      </w:r>
    </w:p>
    <w:p w:rsidR="000F7D05" w:rsidRPr="00EC24F4" w:rsidRDefault="00C87EC9">
      <w:pPr>
        <w:spacing w:after="160"/>
        <w:ind w:firstLine="708"/>
        <w:jc w:val="both"/>
      </w:pPr>
      <w:r w:rsidRPr="00EC24F4">
        <w:t>Кредитные средства предоставляются отдельными траншами по заявлению Заемщика в течение 1 (одного) рабочего дня после предоставления Заявления.</w:t>
      </w:r>
    </w:p>
    <w:p w:rsidR="000F7D05" w:rsidRPr="00EC24F4" w:rsidRDefault="00C87EC9">
      <w:pPr>
        <w:spacing w:after="160"/>
        <w:ind w:firstLine="708"/>
        <w:jc w:val="both"/>
      </w:pPr>
      <w:r w:rsidRPr="00EC24F4">
        <w:t>Заемщик вправе досрочно (полностью или частично) погасить задолженность, предоставив Кредитору письменное Уведомление за 1 (Один) рабочий день до перечисления суммы основного долга на счет Кредитора, указав в Уведомлении дату досрочного погашения (возврата) и досрочно погашаемую (возвращаемую) сумму основного долга.</w:t>
      </w:r>
    </w:p>
    <w:p w:rsidR="000F7D05" w:rsidRPr="00EC24F4" w:rsidRDefault="00C87EC9">
      <w:pPr>
        <w:spacing w:after="160"/>
        <w:ind w:firstLine="708"/>
        <w:jc w:val="both"/>
      </w:pPr>
      <w:r w:rsidRPr="00EC24F4">
        <w:t>В случае изменения размера процентной ставки Кредитор направляет Заемщику курьерской почтой или с использованием других специальных средств связи (при наличии соответствующего соглашения между Кредитором и Заемщиком) уведомление о намерении изменить процентную ставку, которое Заемщик обязан рассмотреть в течение 20 (двадцати) рабочих дней с даты получения такого уведомления и при несогласии с предлагаемой процентной ставкой погасить всю задолженность по настоящему Договору в течение 20 (двадцати) рабочих дней с даты получения уведомления.</w:t>
      </w:r>
    </w:p>
    <w:p w:rsidR="000F7D05" w:rsidRPr="00EC24F4" w:rsidRDefault="00C87EC9">
      <w:pPr>
        <w:spacing w:after="160"/>
        <w:ind w:left="708"/>
        <w:jc w:val="both"/>
      </w:pPr>
      <w:r w:rsidRPr="00EC24F4">
        <w:t>3.3. Требования к организации обеспечения услуг</w:t>
      </w:r>
    </w:p>
    <w:p w:rsidR="000F7D05" w:rsidRPr="00EC24F4" w:rsidRDefault="00C87EC9">
      <w:pPr>
        <w:spacing w:after="160"/>
        <w:ind w:left="708"/>
        <w:jc w:val="both"/>
      </w:pPr>
      <w:r w:rsidRPr="00EC24F4">
        <w:t>Не предусмотрено.</w:t>
      </w:r>
    </w:p>
    <w:p w:rsidR="000F7D05" w:rsidRPr="00EC24F4" w:rsidRDefault="00C87EC9">
      <w:pPr>
        <w:spacing w:after="160"/>
        <w:ind w:left="708"/>
        <w:jc w:val="both"/>
      </w:pPr>
      <w:r w:rsidRPr="00EC24F4">
        <w:t>3.4. Требования к применяемым материалам и оборудованию</w:t>
      </w:r>
    </w:p>
    <w:p w:rsidR="000F7D05" w:rsidRPr="00EC24F4" w:rsidRDefault="00C87EC9">
      <w:pPr>
        <w:spacing w:after="160"/>
        <w:ind w:left="708"/>
        <w:jc w:val="both"/>
      </w:pPr>
      <w:r w:rsidRPr="00EC24F4">
        <w:t>Не предусмотрено.</w:t>
      </w:r>
    </w:p>
    <w:p w:rsidR="000F7D05" w:rsidRPr="00EC24F4" w:rsidRDefault="00C87EC9">
      <w:pPr>
        <w:spacing w:after="160"/>
        <w:ind w:left="708"/>
        <w:jc w:val="both"/>
      </w:pPr>
      <w:r w:rsidRPr="00EC24F4">
        <w:t>3.5. Требования безопасности</w:t>
      </w:r>
    </w:p>
    <w:p w:rsidR="000F7D05" w:rsidRPr="00EC24F4" w:rsidRDefault="00C87EC9">
      <w:pPr>
        <w:spacing w:after="160"/>
        <w:ind w:left="708"/>
        <w:jc w:val="both"/>
      </w:pPr>
      <w:r w:rsidRPr="00EC24F4">
        <w:t>Не предусмотрено.</w:t>
      </w:r>
    </w:p>
    <w:p w:rsidR="000F7D05" w:rsidRPr="00EC24F4" w:rsidRDefault="00C87EC9">
      <w:pPr>
        <w:spacing w:after="160"/>
        <w:ind w:left="708"/>
        <w:jc w:val="both"/>
      </w:pPr>
      <w:r w:rsidRPr="00EC24F4">
        <w:t>3.6. Требования к порядку подготовки и передачи заказчику документов при оказании услуг и их завершении</w:t>
      </w:r>
    </w:p>
    <w:p w:rsidR="000F7D05" w:rsidRPr="00EC24F4" w:rsidRDefault="00C87EC9">
      <w:pPr>
        <w:spacing w:after="160"/>
        <w:ind w:left="708"/>
        <w:jc w:val="both"/>
      </w:pPr>
      <w:r w:rsidRPr="00EC24F4">
        <w:t>Не предусмотрено.</w:t>
      </w:r>
    </w:p>
    <w:p w:rsidR="000F7D05" w:rsidRPr="00EC24F4" w:rsidRDefault="00C87EC9">
      <w:pPr>
        <w:spacing w:after="160"/>
        <w:ind w:left="708"/>
        <w:jc w:val="both"/>
      </w:pPr>
      <w:r w:rsidRPr="00EC24F4">
        <w:t>3.7. Требования к гарантийным обязательствам</w:t>
      </w:r>
    </w:p>
    <w:p w:rsidR="000F7D05" w:rsidRPr="00EC24F4" w:rsidRDefault="00C87EC9">
      <w:pPr>
        <w:spacing w:after="160"/>
        <w:ind w:left="708"/>
        <w:jc w:val="both"/>
      </w:pPr>
      <w:r w:rsidRPr="00EC24F4">
        <w:t>Не предусмотрено.</w:t>
      </w:r>
    </w:p>
    <w:p w:rsidR="000F7D05" w:rsidRPr="00EC24F4" w:rsidRDefault="00C87EC9">
      <w:pPr>
        <w:spacing w:after="160"/>
        <w:ind w:left="708"/>
        <w:jc w:val="both"/>
      </w:pPr>
      <w:r w:rsidRPr="00EC24F4">
        <w:t xml:space="preserve">3.8. Ответственность исполнителя </w:t>
      </w:r>
    </w:p>
    <w:p w:rsidR="000F7D05" w:rsidRPr="00EC24F4" w:rsidRDefault="00C87EC9">
      <w:pPr>
        <w:spacing w:after="160"/>
        <w:ind w:left="708"/>
        <w:jc w:val="both"/>
      </w:pPr>
      <w:r w:rsidRPr="00EC24F4">
        <w:t>Не предусмотрено.</w:t>
      </w:r>
    </w:p>
    <w:p w:rsidR="000F7D05" w:rsidRPr="00EC24F4" w:rsidRDefault="00C87EC9">
      <w:pPr>
        <w:spacing w:after="160"/>
        <w:ind w:left="708"/>
        <w:jc w:val="both"/>
      </w:pPr>
      <w:r w:rsidRPr="00EC24F4">
        <w:t xml:space="preserve">3.9. Требования к порядку привлечения субподрядчиков </w:t>
      </w:r>
    </w:p>
    <w:p w:rsidR="000F7D05" w:rsidRPr="00EC24F4" w:rsidRDefault="00C87EC9">
      <w:pPr>
        <w:spacing w:after="160"/>
        <w:ind w:left="708"/>
        <w:jc w:val="both"/>
      </w:pPr>
      <w:r w:rsidRPr="00EC24F4">
        <w:t>Не предусмотрено.</w:t>
      </w:r>
    </w:p>
    <w:p w:rsidR="000F7D05" w:rsidRPr="00EC24F4" w:rsidRDefault="000F7D05">
      <w:pPr>
        <w:spacing w:after="160"/>
        <w:ind w:left="708"/>
        <w:jc w:val="both"/>
      </w:pPr>
    </w:p>
    <w:p w:rsidR="000F7D05" w:rsidRPr="00EC24F4" w:rsidRDefault="00C87EC9">
      <w:pPr>
        <w:pStyle w:val="a3"/>
        <w:numPr>
          <w:ilvl w:val="0"/>
          <w:numId w:val="1"/>
        </w:numPr>
        <w:spacing w:after="160"/>
        <w:jc w:val="both"/>
        <w:rPr>
          <w:rFonts w:ascii="Times New Roman" w:hAnsi="Times New Roman"/>
          <w:sz w:val="24"/>
          <w:szCs w:val="24"/>
        </w:rPr>
      </w:pPr>
      <w:r w:rsidRPr="00EC24F4">
        <w:rPr>
          <w:rFonts w:ascii="Times New Roman" w:hAnsi="Times New Roman"/>
          <w:sz w:val="24"/>
          <w:szCs w:val="24"/>
        </w:rPr>
        <w:t>ПОРЯДОК ФОРМИРОВАНИЯ КОММЕРЧЕСКОГО ПРЕДЛОЖЕНИЯ УЧАСТНИКА, ОБОСНОВАНИЯ ЦЕНЫ, РАСЧЕТОВ</w:t>
      </w:r>
    </w:p>
    <w:p w:rsidR="000F7D05" w:rsidRPr="00EC24F4" w:rsidRDefault="00C87EC9">
      <w:pPr>
        <w:spacing w:after="160"/>
        <w:ind w:left="284" w:firstLine="425"/>
        <w:jc w:val="both"/>
      </w:pPr>
      <w:r w:rsidRPr="00EC24F4">
        <w:t>Участник закупки в составе своего предложения предоставляет письмо о подаче оферты по форме закупочной документации в котором указывает максимальную сумму процентных платежей, а также коммерческое предложение по форме Приложения №1 к техническому заданию.</w:t>
      </w:r>
    </w:p>
    <w:p w:rsidR="000F7D05" w:rsidRPr="00EC24F4" w:rsidRDefault="00C87EC9">
      <w:pPr>
        <w:spacing w:after="160"/>
        <w:ind w:left="284" w:firstLine="425"/>
        <w:jc w:val="both"/>
      </w:pPr>
      <w:r w:rsidRPr="00EC24F4">
        <w:t xml:space="preserve">По результатам открытых конкурентных переговоров будет определено не более 3 (трех) победителей, с каждым из них будет заключен кредитный договор/соглашение (далее по тексту – Договор) на условиях, достигнутых по результатам конкурентных переговоров в соответствии с требованиями настоящего Технического задания. Оценка и сопоставление заявок участников, а также отбор победителей будет осуществляться в соответствии с Разделом 9 Закупочной документации – </w:t>
      </w:r>
      <w:proofErr w:type="gramStart"/>
      <w:r w:rsidRPr="00EC24F4">
        <w:t>Руководство по экспертной оценке</w:t>
      </w:r>
      <w:proofErr w:type="gramEnd"/>
      <w:r w:rsidRPr="00EC24F4">
        <w:t>, в том числе исходя из предложений участников по наименьшему размеру процентной ставки и предложенных условий кредитного Договора.</w:t>
      </w:r>
    </w:p>
    <w:p w:rsidR="000F7D05" w:rsidRPr="00EC24F4" w:rsidRDefault="00C87EC9">
      <w:pPr>
        <w:spacing w:after="160"/>
        <w:ind w:left="284" w:firstLine="425"/>
        <w:jc w:val="both"/>
      </w:pPr>
      <w:r w:rsidRPr="00EC24F4">
        <w:t>Выборка кредитных средств будет осуществляться по всем заключенным кредитным соглашениям с участниками – победителями закупки в объеме кредитного лимита, определенного Договором, по наиболее выгодным для Заказчика условиям на дату совершения сделки. При этом сумма процентных платежей по всем кредитным соглашениям не должна превышать цену закупки.</w:t>
      </w:r>
      <w:bookmarkStart w:id="1" w:name="_GoBack"/>
      <w:bookmarkEnd w:id="1"/>
    </w:p>
    <w:p w:rsidR="000F7D05" w:rsidRPr="00EC24F4" w:rsidRDefault="00C87EC9">
      <w:pPr>
        <w:spacing w:after="160"/>
        <w:ind w:left="284" w:firstLine="425"/>
        <w:jc w:val="both"/>
      </w:pPr>
      <w:r w:rsidRPr="00EC24F4">
        <w:t>В составе своего предложения на участие в закупке, Участник предоставляет протокол разногласий к проекту Договора либо свой проект Договора, соответствующий требованиям настоящего Технического задания. Соответствие предлагаемого проекта кредитного договора/протокола разногласий требованиям Технического задания будет учитываться в итоговом ранжировании участников.</w:t>
      </w:r>
    </w:p>
    <w:p w:rsidR="000F7D05" w:rsidRPr="00EC24F4" w:rsidRDefault="000F7D05">
      <w:pPr>
        <w:spacing w:after="160"/>
        <w:jc w:val="both"/>
      </w:pPr>
    </w:p>
    <w:p w:rsidR="000F7D05" w:rsidRPr="00EC24F4" w:rsidRDefault="00C87EC9">
      <w:pPr>
        <w:pStyle w:val="a3"/>
        <w:numPr>
          <w:ilvl w:val="0"/>
          <w:numId w:val="1"/>
        </w:numPr>
        <w:spacing w:after="160"/>
        <w:jc w:val="both"/>
        <w:rPr>
          <w:rFonts w:ascii="Times New Roman" w:hAnsi="Times New Roman"/>
          <w:sz w:val="24"/>
          <w:szCs w:val="24"/>
        </w:rPr>
      </w:pPr>
      <w:r w:rsidRPr="00EC24F4">
        <w:rPr>
          <w:rFonts w:ascii="Times New Roman" w:hAnsi="Times New Roman"/>
          <w:sz w:val="24"/>
          <w:szCs w:val="24"/>
        </w:rPr>
        <w:t>ТРЕБОВАНИЯ К УЧАСТНИКАМ ЗАКУПКИ (ИСПОЛНИТЕЛЯМ)</w:t>
      </w:r>
    </w:p>
    <w:p w:rsidR="000F7D05" w:rsidRPr="00EC24F4" w:rsidRDefault="00C87EC9">
      <w:pPr>
        <w:spacing w:after="160"/>
        <w:ind w:left="708"/>
        <w:jc w:val="both"/>
        <w:rPr>
          <w:rFonts w:eastAsia="Calibri"/>
          <w:lang w:eastAsia="en-US"/>
        </w:rPr>
      </w:pPr>
      <w:r w:rsidRPr="00EC24F4">
        <w:rPr>
          <w:rFonts w:eastAsia="Calibri"/>
          <w:lang w:eastAsia="en-US"/>
        </w:rPr>
        <w:t xml:space="preserve">5.1. Требования о наличии кадровых ресурсов и их квалификации </w:t>
      </w:r>
    </w:p>
    <w:p w:rsidR="000F7D05" w:rsidRPr="00EC24F4" w:rsidRDefault="00C87EC9">
      <w:pPr>
        <w:spacing w:after="160"/>
        <w:ind w:left="708"/>
        <w:jc w:val="both"/>
        <w:rPr>
          <w:rFonts w:eastAsia="Calibri"/>
          <w:lang w:eastAsia="en-US"/>
        </w:rPr>
      </w:pPr>
      <w:r w:rsidRPr="00EC24F4">
        <w:t>Не предусмотрено.</w:t>
      </w:r>
    </w:p>
    <w:p w:rsidR="000F7D05" w:rsidRPr="00EC24F4" w:rsidRDefault="00C87EC9">
      <w:pPr>
        <w:spacing w:after="160"/>
        <w:ind w:left="708"/>
        <w:jc w:val="both"/>
        <w:rPr>
          <w:rFonts w:eastAsia="Calibri"/>
          <w:lang w:eastAsia="en-US"/>
        </w:rPr>
      </w:pPr>
      <w:r w:rsidRPr="00EC24F4">
        <w:rPr>
          <w:rFonts w:eastAsia="Calibri"/>
          <w:lang w:eastAsia="en-US"/>
        </w:rPr>
        <w:t xml:space="preserve">5.2. Требования о наличии материально-технических ресурсов </w:t>
      </w:r>
    </w:p>
    <w:p w:rsidR="000F7D05" w:rsidRPr="00EC24F4" w:rsidRDefault="00C87EC9">
      <w:pPr>
        <w:spacing w:after="160"/>
        <w:ind w:left="708"/>
        <w:jc w:val="both"/>
        <w:rPr>
          <w:rFonts w:eastAsia="Calibri"/>
          <w:lang w:eastAsia="en-US"/>
        </w:rPr>
      </w:pPr>
      <w:r w:rsidRPr="00EC24F4">
        <w:t>Не предусмотрено.</w:t>
      </w:r>
    </w:p>
    <w:p w:rsidR="000F7D05" w:rsidRPr="00EC24F4" w:rsidRDefault="00C87EC9">
      <w:pPr>
        <w:spacing w:after="160"/>
        <w:ind w:left="708"/>
        <w:jc w:val="both"/>
        <w:rPr>
          <w:rFonts w:eastAsia="Calibri"/>
          <w:lang w:eastAsia="en-US"/>
        </w:rPr>
      </w:pPr>
      <w:r w:rsidRPr="00EC24F4">
        <w:rPr>
          <w:rFonts w:eastAsia="Calibri"/>
          <w:lang w:eastAsia="en-US"/>
        </w:rPr>
        <w:t>5.3. Требования к измерительным приборам и инструментам</w:t>
      </w:r>
    </w:p>
    <w:p w:rsidR="000F7D05" w:rsidRPr="00EC24F4" w:rsidRDefault="00C87EC9">
      <w:pPr>
        <w:spacing w:after="160"/>
        <w:ind w:left="708"/>
        <w:jc w:val="both"/>
      </w:pPr>
      <w:r w:rsidRPr="00EC24F4">
        <w:t>Не предусмотрено.</w:t>
      </w:r>
    </w:p>
    <w:p w:rsidR="000F7D05" w:rsidRPr="00EC24F4" w:rsidRDefault="00C87EC9">
      <w:pPr>
        <w:spacing w:after="160"/>
        <w:ind w:left="708"/>
        <w:jc w:val="both"/>
        <w:rPr>
          <w:rFonts w:eastAsia="Calibri"/>
          <w:lang w:eastAsia="en-US"/>
        </w:rPr>
      </w:pPr>
      <w:r w:rsidRPr="00EC24F4">
        <w:rPr>
          <w:rFonts w:eastAsia="Calibri"/>
          <w:lang w:eastAsia="en-US"/>
        </w:rPr>
        <w:t>5.4. Требования о наличии действующих разрешений, аттестаций, свидетельств СРО, лицензий:</w:t>
      </w:r>
    </w:p>
    <w:tbl>
      <w:tblPr>
        <w:tblW w:w="0" w:type="auto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8"/>
        <w:gridCol w:w="4394"/>
        <w:gridCol w:w="4501"/>
      </w:tblGrid>
      <w:tr w:rsidR="00EC24F4" w:rsidRPr="00EC24F4">
        <w:trPr>
          <w:trHeight w:val="633"/>
        </w:trPr>
        <w:tc>
          <w:tcPr>
            <w:tcW w:w="818" w:type="dxa"/>
            <w:vAlign w:val="center"/>
          </w:tcPr>
          <w:p w:rsidR="000F7D05" w:rsidRPr="00EC24F4" w:rsidRDefault="00C87EC9" w:rsidP="00EC24F4">
            <w:pPr>
              <w:jc w:val="center"/>
              <w:rPr>
                <w:rFonts w:eastAsia="Calibri"/>
                <w:lang w:eastAsia="en-US"/>
              </w:rPr>
            </w:pPr>
            <w:r w:rsidRPr="00EC24F4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4394" w:type="dxa"/>
            <w:vAlign w:val="center"/>
          </w:tcPr>
          <w:p w:rsidR="000F7D05" w:rsidRPr="00EC24F4" w:rsidRDefault="00C87EC9" w:rsidP="00EC24F4">
            <w:pPr>
              <w:jc w:val="center"/>
              <w:rPr>
                <w:rFonts w:eastAsia="Calibri"/>
                <w:lang w:eastAsia="en-US"/>
              </w:rPr>
            </w:pPr>
            <w:r w:rsidRPr="00EC24F4">
              <w:rPr>
                <w:rFonts w:eastAsia="Calibri"/>
                <w:lang w:eastAsia="en-US"/>
              </w:rPr>
              <w:t>Требование</w:t>
            </w:r>
          </w:p>
        </w:tc>
        <w:tc>
          <w:tcPr>
            <w:tcW w:w="4501" w:type="dxa"/>
            <w:vAlign w:val="center"/>
          </w:tcPr>
          <w:p w:rsidR="000F7D05" w:rsidRPr="00EC24F4" w:rsidRDefault="00C87EC9" w:rsidP="00EC24F4">
            <w:pPr>
              <w:jc w:val="center"/>
              <w:rPr>
                <w:rFonts w:eastAsia="Calibri"/>
                <w:lang w:eastAsia="en-US"/>
              </w:rPr>
            </w:pPr>
            <w:r w:rsidRPr="00EC24F4">
              <w:rPr>
                <w:rFonts w:eastAsia="Calibri"/>
                <w:lang w:eastAsia="en-US"/>
              </w:rPr>
              <w:t>Документы, предоставляемые в подтверждение соблюдения требования</w:t>
            </w:r>
          </w:p>
        </w:tc>
      </w:tr>
      <w:tr w:rsidR="00EC24F4" w:rsidRPr="00EC24F4">
        <w:tc>
          <w:tcPr>
            <w:tcW w:w="818" w:type="dxa"/>
          </w:tcPr>
          <w:p w:rsidR="000F7D05" w:rsidRPr="00EC24F4" w:rsidRDefault="00C87EC9" w:rsidP="00EC24F4">
            <w:pPr>
              <w:jc w:val="both"/>
              <w:rPr>
                <w:rFonts w:eastAsia="Calibri"/>
                <w:lang w:eastAsia="en-US"/>
              </w:rPr>
            </w:pPr>
            <w:r w:rsidRPr="00EC24F4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94" w:type="dxa"/>
          </w:tcPr>
          <w:p w:rsidR="000F7D05" w:rsidRPr="00EC24F4" w:rsidRDefault="00C87EC9" w:rsidP="00EC24F4">
            <w:pPr>
              <w:jc w:val="both"/>
              <w:rPr>
                <w:rFonts w:eastAsia="Calibri"/>
                <w:lang w:eastAsia="en-US"/>
              </w:rPr>
            </w:pPr>
            <w:r w:rsidRPr="00EC24F4">
              <w:rPr>
                <w:rFonts w:eastAsia="Calibri"/>
                <w:lang w:eastAsia="en-US"/>
              </w:rPr>
              <w:t>Наличие действующей лицензии Банка России по предмету закупочной процедуры</w:t>
            </w:r>
          </w:p>
        </w:tc>
        <w:tc>
          <w:tcPr>
            <w:tcW w:w="4501" w:type="dxa"/>
          </w:tcPr>
          <w:p w:rsidR="000F7D05" w:rsidRPr="00EC24F4" w:rsidRDefault="00C87EC9" w:rsidP="00EC24F4">
            <w:pPr>
              <w:jc w:val="both"/>
              <w:rPr>
                <w:rFonts w:eastAsia="Calibri"/>
                <w:lang w:eastAsia="en-US"/>
              </w:rPr>
            </w:pPr>
            <w:r w:rsidRPr="00EC24F4">
              <w:rPr>
                <w:rFonts w:eastAsia="Calibri"/>
                <w:lang w:eastAsia="en-US"/>
              </w:rPr>
              <w:t>Копия лицензии Банка России, заверенная нотариально</w:t>
            </w:r>
          </w:p>
        </w:tc>
      </w:tr>
      <w:tr w:rsidR="00EC24F4" w:rsidRPr="00EC24F4">
        <w:tc>
          <w:tcPr>
            <w:tcW w:w="818" w:type="dxa"/>
          </w:tcPr>
          <w:p w:rsidR="000F7D05" w:rsidRPr="00EC24F4" w:rsidRDefault="00C87EC9" w:rsidP="00EC24F4">
            <w:pPr>
              <w:jc w:val="both"/>
              <w:rPr>
                <w:rFonts w:eastAsia="Calibri"/>
                <w:lang w:eastAsia="en-US"/>
              </w:rPr>
            </w:pPr>
            <w:r w:rsidRPr="00EC24F4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394" w:type="dxa"/>
          </w:tcPr>
          <w:p w:rsidR="000F7D05" w:rsidRPr="00EC24F4" w:rsidRDefault="00C87EC9" w:rsidP="00EC24F4">
            <w:pPr>
              <w:jc w:val="both"/>
              <w:rPr>
                <w:rFonts w:eastAsia="Calibri"/>
                <w:lang w:eastAsia="en-US"/>
              </w:rPr>
            </w:pPr>
            <w:r w:rsidRPr="00EC24F4">
              <w:rPr>
                <w:rFonts w:eastAsia="Calibri"/>
                <w:lang w:eastAsia="en-US"/>
              </w:rPr>
              <w:t>Вхождение участника в Перечень кредитных организаций, соответствующих требованиям, установленным частью 1 статьи 2 Федерального закона от 21 июля 2014 года № 213-ФЗ</w:t>
            </w:r>
          </w:p>
        </w:tc>
        <w:tc>
          <w:tcPr>
            <w:tcW w:w="4501" w:type="dxa"/>
          </w:tcPr>
          <w:p w:rsidR="000F7D05" w:rsidRPr="00EC24F4" w:rsidRDefault="00C87EC9" w:rsidP="00EC24F4">
            <w:pPr>
              <w:jc w:val="both"/>
              <w:rPr>
                <w:rFonts w:eastAsia="Calibri"/>
                <w:lang w:eastAsia="en-US"/>
              </w:rPr>
            </w:pPr>
            <w:r w:rsidRPr="00EC24F4">
              <w:rPr>
                <w:rFonts w:eastAsia="Calibri"/>
                <w:lang w:eastAsia="en-US"/>
              </w:rPr>
              <w:t xml:space="preserve">Сведения о вхождении участника в перечень банков, публикуемом на сайте ЦБ по ссылке </w:t>
            </w:r>
            <w:hyperlink r:id="rId7" w:history="1">
              <w:r w:rsidRPr="00EC24F4">
                <w:rPr>
                  <w:rFonts w:eastAsia="Calibri"/>
                  <w:lang w:eastAsia="en-US"/>
                </w:rPr>
                <w:t>http://www.cbr.ru/credit/</w:t>
              </w:r>
            </w:hyperlink>
            <w:r w:rsidRPr="00EC24F4">
              <w:rPr>
                <w:rFonts w:eastAsia="Calibri"/>
                <w:lang w:eastAsia="en-US"/>
              </w:rPr>
              <w:t xml:space="preserve"> на ежемесячной основе.</w:t>
            </w:r>
          </w:p>
        </w:tc>
      </w:tr>
    </w:tbl>
    <w:p w:rsidR="000F7D05" w:rsidRPr="00EC24F4" w:rsidRDefault="000F7D05">
      <w:pPr>
        <w:spacing w:after="160"/>
        <w:ind w:left="708"/>
        <w:jc w:val="both"/>
      </w:pPr>
    </w:p>
    <w:p w:rsidR="000F7D05" w:rsidRPr="00EC24F4" w:rsidRDefault="00C87EC9">
      <w:pPr>
        <w:spacing w:after="160"/>
        <w:ind w:left="708"/>
        <w:jc w:val="both"/>
        <w:rPr>
          <w:rFonts w:eastAsia="Calibri"/>
          <w:lang w:eastAsia="en-US"/>
        </w:rPr>
      </w:pPr>
      <w:r w:rsidRPr="00EC24F4">
        <w:rPr>
          <w:rFonts w:eastAsia="Calibri"/>
          <w:lang w:eastAsia="en-US"/>
        </w:rPr>
        <w:t>5.5. Требования о наличии сертифицированных систем менеджмента:</w:t>
      </w:r>
    </w:p>
    <w:p w:rsidR="000F7D05" w:rsidRPr="00EC24F4" w:rsidRDefault="00C87EC9">
      <w:pPr>
        <w:spacing w:after="160"/>
        <w:ind w:left="708"/>
        <w:jc w:val="both"/>
      </w:pPr>
      <w:r w:rsidRPr="00EC24F4">
        <w:t>Не предусмотрено.</w:t>
      </w:r>
    </w:p>
    <w:p w:rsidR="000F7D05" w:rsidRPr="00EC24F4" w:rsidRDefault="00C87EC9">
      <w:pPr>
        <w:spacing w:after="160"/>
        <w:ind w:left="708"/>
        <w:jc w:val="both"/>
      </w:pPr>
      <w:r w:rsidRPr="00EC24F4">
        <w:t>5.6. Требования о наличии аккредитации в Группе «Интер РАО»:</w:t>
      </w:r>
    </w:p>
    <w:p w:rsidR="000F7D05" w:rsidRPr="00EC24F4" w:rsidRDefault="00C87EC9">
      <w:pPr>
        <w:spacing w:after="120"/>
        <w:ind w:left="709"/>
        <w:jc w:val="both"/>
      </w:pPr>
      <w:r w:rsidRPr="00EC24F4">
        <w:t>Не предусмотрено.</w:t>
      </w:r>
    </w:p>
    <w:p w:rsidR="000F7D05" w:rsidRPr="00EC24F4" w:rsidRDefault="00C87EC9">
      <w:pPr>
        <w:spacing w:before="240" w:after="160"/>
        <w:ind w:left="708"/>
        <w:jc w:val="both"/>
        <w:rPr>
          <w:rFonts w:eastAsia="Calibri"/>
          <w:lang w:eastAsia="en-US"/>
        </w:rPr>
      </w:pPr>
      <w:r w:rsidRPr="00EC24F4">
        <w:rPr>
          <w:rFonts w:eastAsia="Calibri"/>
          <w:lang w:eastAsia="en-US"/>
        </w:rPr>
        <w:t>5.7. Требования к опыту оказания аналогичных услуг:</w:t>
      </w:r>
    </w:p>
    <w:p w:rsidR="000F7D05" w:rsidRPr="00EC24F4" w:rsidRDefault="00C87EC9">
      <w:pPr>
        <w:spacing w:after="120"/>
        <w:ind w:left="709"/>
        <w:jc w:val="both"/>
      </w:pPr>
      <w:r w:rsidRPr="00EC24F4">
        <w:t xml:space="preserve">Участник закупки в составе своего предложения должен предоставить справку о перечне и объемах выполнения аналогичных договоров по форме закупочной документации, подтверждающую наличие опыта оказания финансовых услуг в объеме не менее 5 000 000 000 (пяти миллиардов) рублей, за последние 2 года, предшествующие дате подачи заявки на участие в закупке. </w:t>
      </w:r>
    </w:p>
    <w:p w:rsidR="000F7D05" w:rsidRPr="00EC24F4" w:rsidRDefault="00C87EC9">
      <w:pPr>
        <w:spacing w:after="160"/>
        <w:ind w:left="708"/>
        <w:jc w:val="both"/>
      </w:pPr>
      <w:r w:rsidRPr="00EC24F4">
        <w:t>Желательным требованием является подтверждение опыта оказания финансовых услуг компаниям Группы «Интер РАО» (будет являться преимуществом при оценке заявок).</w:t>
      </w:r>
    </w:p>
    <w:p w:rsidR="000F7D05" w:rsidRPr="00EC24F4" w:rsidRDefault="00C87EC9">
      <w:pPr>
        <w:spacing w:before="240" w:after="160"/>
        <w:ind w:left="708"/>
        <w:jc w:val="both"/>
      </w:pPr>
      <w:r w:rsidRPr="00EC24F4">
        <w:t>5.8. Требования к опыту поставки аналогичных товаров:</w:t>
      </w:r>
    </w:p>
    <w:p w:rsidR="000F7D05" w:rsidRPr="00EC24F4" w:rsidRDefault="00C87EC9">
      <w:pPr>
        <w:spacing w:after="160"/>
        <w:ind w:left="708"/>
        <w:jc w:val="both"/>
      </w:pPr>
      <w:r w:rsidRPr="00EC24F4">
        <w:t>Не предусмотрено.</w:t>
      </w:r>
    </w:p>
    <w:p w:rsidR="000F7D05" w:rsidRPr="00EC24F4" w:rsidRDefault="00C87EC9">
      <w:pPr>
        <w:spacing w:after="160"/>
        <w:ind w:left="708"/>
        <w:jc w:val="both"/>
      </w:pPr>
      <w:r w:rsidRPr="00EC24F4">
        <w:t>5.9. Требования к субподрядным организациям:</w:t>
      </w:r>
    </w:p>
    <w:p w:rsidR="000F7D05" w:rsidRPr="00EC24F4" w:rsidRDefault="00C87EC9">
      <w:pPr>
        <w:spacing w:after="160"/>
        <w:ind w:left="708"/>
        <w:jc w:val="both"/>
      </w:pPr>
      <w:r w:rsidRPr="00EC24F4">
        <w:t>Не предусмотрено.</w:t>
      </w:r>
    </w:p>
    <w:p w:rsidR="000F7D05" w:rsidRPr="00EC24F4" w:rsidRDefault="00C87EC9">
      <w:pPr>
        <w:pStyle w:val="a3"/>
        <w:numPr>
          <w:ilvl w:val="0"/>
          <w:numId w:val="1"/>
        </w:numPr>
        <w:spacing w:after="160"/>
        <w:jc w:val="both"/>
        <w:rPr>
          <w:rFonts w:ascii="Times New Roman" w:hAnsi="Times New Roman"/>
          <w:sz w:val="24"/>
          <w:szCs w:val="24"/>
        </w:rPr>
      </w:pPr>
      <w:r w:rsidRPr="00EC24F4">
        <w:rPr>
          <w:rFonts w:ascii="Times New Roman" w:hAnsi="Times New Roman"/>
          <w:sz w:val="24"/>
          <w:szCs w:val="24"/>
        </w:rPr>
        <w:t>ПРИЛОЖЕНИЯ К ТЗ</w:t>
      </w:r>
    </w:p>
    <w:p w:rsidR="000F7D05" w:rsidRPr="00EC24F4" w:rsidRDefault="00EC24F4">
      <w:pPr>
        <w:numPr>
          <w:ilvl w:val="0"/>
          <w:numId w:val="2"/>
        </w:numPr>
        <w:ind w:left="714" w:hanging="357"/>
        <w:jc w:val="both"/>
      </w:pPr>
      <w:r w:rsidRPr="00EC24F4">
        <w:t>Форма коммерческого предложения участника</w:t>
      </w:r>
      <w:r w:rsidR="00C87EC9" w:rsidRPr="00EC24F4">
        <w:t>.</w:t>
      </w:r>
    </w:p>
    <w:p w:rsidR="000F7D05" w:rsidRPr="00EC24F4" w:rsidRDefault="000F7D05">
      <w:pPr>
        <w:rPr>
          <w:iCs/>
        </w:rPr>
      </w:pPr>
    </w:p>
    <w:p w:rsidR="000F7D05" w:rsidRPr="00EC24F4" w:rsidRDefault="000F7D05"/>
    <w:p w:rsidR="000F7D05" w:rsidRPr="00EC24F4" w:rsidRDefault="000F7D05"/>
    <w:p w:rsidR="000F7D05" w:rsidRPr="00EC24F4" w:rsidRDefault="000F7D05"/>
    <w:p w:rsidR="000F7D05" w:rsidRPr="00EC24F4" w:rsidRDefault="000F7D05"/>
    <w:p w:rsidR="000F7D05" w:rsidRPr="00EC24F4" w:rsidRDefault="000F7D05"/>
    <w:p w:rsidR="000F7D05" w:rsidRPr="00EC24F4" w:rsidRDefault="000F7D05"/>
    <w:p w:rsidR="000F7D05" w:rsidRPr="00EC24F4" w:rsidRDefault="000F7D05"/>
    <w:p w:rsidR="000F7D05" w:rsidRPr="00EC24F4" w:rsidRDefault="000F7D05">
      <w:pPr>
        <w:sectPr w:rsidR="000F7D05" w:rsidRPr="00EC24F4">
          <w:type w:val="continuous"/>
          <w:pgSz w:w="11906" w:h="16838"/>
          <w:pgMar w:top="709" w:right="850" w:bottom="709" w:left="851" w:header="709" w:footer="709" w:gutter="0"/>
          <w:cols w:space="708"/>
          <w:docGrid w:linePitch="360"/>
        </w:sectPr>
      </w:pPr>
    </w:p>
    <w:p w:rsidR="000F7D05" w:rsidRPr="00EC24F4" w:rsidRDefault="000F7D05">
      <w:pPr>
        <w:sectPr w:rsidR="000F7D05" w:rsidRPr="00EC24F4">
          <w:type w:val="continuous"/>
          <w:pgSz w:w="11906" w:h="16838"/>
          <w:pgMar w:top="709" w:right="850" w:bottom="709" w:left="851" w:header="708" w:footer="416" w:gutter="0"/>
          <w:cols w:space="708"/>
          <w:docGrid w:linePitch="360"/>
        </w:sectPr>
      </w:pPr>
    </w:p>
    <w:p w:rsidR="000F7D05" w:rsidRPr="00EC24F4" w:rsidRDefault="000F7D05"/>
    <w:p w:rsidR="000F7D05" w:rsidRPr="00EC24F4" w:rsidRDefault="00C87EC9">
      <w:pPr>
        <w:spacing w:after="160"/>
        <w:ind w:left="360"/>
        <w:jc w:val="right"/>
        <w:rPr>
          <w:b/>
          <w:sz w:val="28"/>
          <w:szCs w:val="28"/>
        </w:rPr>
      </w:pPr>
      <w:r w:rsidRPr="00EC24F4">
        <w:rPr>
          <w:b/>
          <w:sz w:val="28"/>
          <w:szCs w:val="28"/>
        </w:rPr>
        <w:t>Приложение № 1</w:t>
      </w:r>
    </w:p>
    <w:p w:rsidR="000F7D05" w:rsidRPr="00EC24F4" w:rsidRDefault="00C87EC9">
      <w:pPr>
        <w:spacing w:after="160"/>
        <w:ind w:left="360"/>
        <w:jc w:val="center"/>
        <w:rPr>
          <w:b/>
          <w:sz w:val="28"/>
          <w:szCs w:val="28"/>
        </w:rPr>
      </w:pPr>
      <w:r w:rsidRPr="00EC24F4">
        <w:rPr>
          <w:b/>
          <w:sz w:val="28"/>
          <w:szCs w:val="28"/>
        </w:rPr>
        <w:t>Форма коммерческого предложения Участника</w:t>
      </w:r>
    </w:p>
    <w:bookmarkEnd w:id="0"/>
    <w:p w:rsidR="000F7D05" w:rsidRPr="00EC24F4" w:rsidRDefault="000F7D05">
      <w:pPr>
        <w:jc w:val="right"/>
        <w:rPr>
          <w:sz w:val="20"/>
          <w:szCs w:val="20"/>
        </w:rPr>
      </w:pPr>
    </w:p>
    <w:p w:rsidR="000F7D05" w:rsidRPr="00EC24F4" w:rsidRDefault="000F7D05">
      <w:pPr>
        <w:jc w:val="right"/>
        <w:rPr>
          <w:sz w:val="20"/>
          <w:szCs w:val="20"/>
        </w:rPr>
      </w:pPr>
    </w:p>
    <w:tbl>
      <w:tblPr>
        <w:tblW w:w="152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2126"/>
        <w:gridCol w:w="1984"/>
        <w:gridCol w:w="1417"/>
        <w:gridCol w:w="2268"/>
        <w:gridCol w:w="2126"/>
        <w:gridCol w:w="2659"/>
      </w:tblGrid>
      <w:tr w:rsidR="00EC24F4" w:rsidRPr="00EC24F4">
        <w:trPr>
          <w:cantSplit/>
          <w:trHeight w:val="300"/>
        </w:trPr>
        <w:tc>
          <w:tcPr>
            <w:tcW w:w="2693" w:type="dxa"/>
            <w:vMerge w:val="restart"/>
            <w:shd w:val="clear" w:color="000000" w:fill="DCE6F1"/>
            <w:vAlign w:val="center"/>
          </w:tcPr>
          <w:p w:rsidR="000F7D05" w:rsidRPr="00EC24F4" w:rsidRDefault="00C87EC9">
            <w:pPr>
              <w:jc w:val="center"/>
              <w:rPr>
                <w:b/>
                <w:bCs/>
              </w:rPr>
            </w:pPr>
            <w:r w:rsidRPr="00EC24F4">
              <w:rPr>
                <w:b/>
                <w:bCs/>
              </w:rPr>
              <w:t>Наименование ДО</w:t>
            </w:r>
          </w:p>
        </w:tc>
        <w:tc>
          <w:tcPr>
            <w:tcW w:w="2126" w:type="dxa"/>
            <w:vMerge w:val="restart"/>
            <w:shd w:val="clear" w:color="000000" w:fill="DCE6F1"/>
          </w:tcPr>
          <w:p w:rsidR="000F7D05" w:rsidRPr="00EC24F4" w:rsidRDefault="00C87EC9">
            <w:pPr>
              <w:jc w:val="center"/>
              <w:rPr>
                <w:b/>
                <w:bCs/>
              </w:rPr>
            </w:pPr>
            <w:r w:rsidRPr="00EC24F4">
              <w:rPr>
                <w:b/>
                <w:bCs/>
              </w:rPr>
              <w:t>Лимит единовременной задолженности заемщика по договору, руб. без НДС</w:t>
            </w:r>
          </w:p>
          <w:p w:rsidR="000F7D05" w:rsidRPr="00EC24F4" w:rsidRDefault="000F7D05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984" w:type="dxa"/>
            <w:vMerge w:val="restart"/>
            <w:shd w:val="clear" w:color="000000" w:fill="DCE6F1"/>
          </w:tcPr>
          <w:p w:rsidR="000F7D05" w:rsidRPr="00EC24F4" w:rsidRDefault="00C87EC9">
            <w:pPr>
              <w:jc w:val="center"/>
              <w:rPr>
                <w:b/>
                <w:sz w:val="28"/>
                <w:szCs w:val="28"/>
              </w:rPr>
            </w:pPr>
            <w:r w:rsidRPr="00EC24F4">
              <w:rPr>
                <w:b/>
                <w:bCs/>
              </w:rPr>
              <w:t>Максимальная сумма процентных платежей за весь период кредитования, руб.</w:t>
            </w:r>
          </w:p>
        </w:tc>
        <w:tc>
          <w:tcPr>
            <w:tcW w:w="1417" w:type="dxa"/>
            <w:vMerge w:val="restart"/>
            <w:shd w:val="clear" w:color="000000" w:fill="DCE6F1"/>
            <w:vAlign w:val="center"/>
          </w:tcPr>
          <w:p w:rsidR="000F7D05" w:rsidRPr="00EC24F4" w:rsidRDefault="00C87EC9">
            <w:pPr>
              <w:jc w:val="center"/>
              <w:rPr>
                <w:rFonts w:ascii="Arial" w:hAnsi="Arial" w:cs="Arial"/>
                <w:b/>
                <w:bCs/>
              </w:rPr>
            </w:pPr>
            <w:r w:rsidRPr="00EC24F4">
              <w:rPr>
                <w:b/>
              </w:rPr>
              <w:t>Срок траншей, календарных дней</w:t>
            </w:r>
          </w:p>
          <w:p w:rsidR="000F7D05" w:rsidRPr="00EC24F4" w:rsidRDefault="000F7D05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53" w:type="dxa"/>
            <w:gridSpan w:val="3"/>
            <w:shd w:val="clear" w:color="000000" w:fill="DCE6F1"/>
          </w:tcPr>
          <w:p w:rsidR="000F7D05" w:rsidRPr="00EC24F4" w:rsidRDefault="00C87EC9">
            <w:pPr>
              <w:ind w:left="360"/>
              <w:jc w:val="center"/>
              <w:rPr>
                <w:b/>
              </w:rPr>
            </w:pPr>
            <w:r w:rsidRPr="00EC24F4">
              <w:rPr>
                <w:b/>
              </w:rPr>
              <w:t>Предложение Участника</w:t>
            </w:r>
          </w:p>
        </w:tc>
      </w:tr>
      <w:tr w:rsidR="00EC24F4" w:rsidRPr="00EC24F4">
        <w:trPr>
          <w:cantSplit/>
          <w:trHeight w:val="585"/>
        </w:trPr>
        <w:tc>
          <w:tcPr>
            <w:tcW w:w="2693" w:type="dxa"/>
            <w:vMerge/>
            <w:vAlign w:val="center"/>
          </w:tcPr>
          <w:p w:rsidR="000F7D05" w:rsidRPr="00EC24F4" w:rsidRDefault="000F7D05">
            <w:pPr>
              <w:ind w:left="36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126" w:type="dxa"/>
            <w:vMerge/>
            <w:shd w:val="clear" w:color="000000" w:fill="DCE6F1"/>
            <w:vAlign w:val="center"/>
          </w:tcPr>
          <w:p w:rsidR="000F7D05" w:rsidRPr="00EC24F4" w:rsidRDefault="000F7D0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000000" w:fill="DCE6F1"/>
            <w:vAlign w:val="center"/>
          </w:tcPr>
          <w:p w:rsidR="000F7D05" w:rsidRPr="00EC24F4" w:rsidRDefault="000F7D0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DCE6F1"/>
            <w:vAlign w:val="center"/>
          </w:tcPr>
          <w:p w:rsidR="000F7D05" w:rsidRPr="00EC24F4" w:rsidRDefault="000F7D0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DCE6F1"/>
          </w:tcPr>
          <w:p w:rsidR="000F7D05" w:rsidRPr="00EC24F4" w:rsidRDefault="000F7D05">
            <w:pPr>
              <w:jc w:val="center"/>
              <w:rPr>
                <w:b/>
                <w:bCs/>
              </w:rPr>
            </w:pPr>
          </w:p>
          <w:p w:rsidR="000F7D05" w:rsidRPr="00EC24F4" w:rsidRDefault="00C87EC9">
            <w:pPr>
              <w:jc w:val="center"/>
              <w:rPr>
                <w:b/>
                <w:bCs/>
              </w:rPr>
            </w:pPr>
            <w:r w:rsidRPr="00EC24F4">
              <w:rPr>
                <w:b/>
              </w:rPr>
              <w:t>Размер процента прибавляемого к ключевой ставке Банка России, %</w:t>
            </w:r>
          </w:p>
        </w:tc>
        <w:tc>
          <w:tcPr>
            <w:tcW w:w="2126" w:type="dxa"/>
            <w:shd w:val="clear" w:color="000000" w:fill="DCE6F1"/>
            <w:vAlign w:val="center"/>
          </w:tcPr>
          <w:p w:rsidR="000F7D05" w:rsidRPr="00EC24F4" w:rsidRDefault="00C87EC9">
            <w:pPr>
              <w:ind w:left="34"/>
              <w:jc w:val="center"/>
            </w:pPr>
            <w:r w:rsidRPr="00EC24F4">
              <w:rPr>
                <w:b/>
                <w:bCs/>
              </w:rPr>
              <w:t>Процентная ставка на дату подачи заявки Участника, %</w:t>
            </w:r>
          </w:p>
        </w:tc>
        <w:tc>
          <w:tcPr>
            <w:tcW w:w="2659" w:type="dxa"/>
            <w:shd w:val="clear" w:color="000000" w:fill="DCE6F1"/>
            <w:vAlign w:val="center"/>
          </w:tcPr>
          <w:p w:rsidR="000F7D05" w:rsidRPr="00EC24F4" w:rsidRDefault="00C87EC9">
            <w:pPr>
              <w:ind w:left="34"/>
              <w:jc w:val="center"/>
              <w:rPr>
                <w:b/>
                <w:bCs/>
              </w:rPr>
            </w:pPr>
            <w:r w:rsidRPr="00EC24F4">
              <w:rPr>
                <w:b/>
                <w:bCs/>
              </w:rPr>
              <w:t>Сумма процентных платежей за весь период кредитования</w:t>
            </w:r>
            <w:r w:rsidRPr="00EC24F4">
              <w:rPr>
                <w:rStyle w:val="af4"/>
                <w:b/>
                <w:bCs/>
              </w:rPr>
              <w:footnoteReference w:id="1"/>
            </w:r>
            <w:r w:rsidRPr="00EC24F4">
              <w:rPr>
                <w:b/>
                <w:bCs/>
              </w:rPr>
              <w:t>, руб.</w:t>
            </w:r>
          </w:p>
        </w:tc>
      </w:tr>
      <w:tr w:rsidR="00EC24F4" w:rsidRPr="00EC24F4">
        <w:trPr>
          <w:trHeight w:val="300"/>
        </w:trPr>
        <w:tc>
          <w:tcPr>
            <w:tcW w:w="2693" w:type="dxa"/>
            <w:vAlign w:val="center"/>
          </w:tcPr>
          <w:p w:rsidR="000F7D05" w:rsidRPr="00EC24F4" w:rsidRDefault="00C87EC9">
            <w:pPr>
              <w:jc w:val="center"/>
            </w:pPr>
            <w:r w:rsidRPr="00EC24F4">
              <w:t>ООО «Орловский энергосбыт»</w:t>
            </w:r>
          </w:p>
        </w:tc>
        <w:tc>
          <w:tcPr>
            <w:tcW w:w="2126" w:type="dxa"/>
            <w:vAlign w:val="center"/>
          </w:tcPr>
          <w:p w:rsidR="000F7D05" w:rsidRPr="00EC24F4" w:rsidRDefault="00C87EC9">
            <w:pPr>
              <w:ind w:left="34"/>
              <w:jc w:val="center"/>
            </w:pPr>
            <w:r w:rsidRPr="00EC24F4">
              <w:t>250 000 000</w:t>
            </w:r>
          </w:p>
        </w:tc>
        <w:tc>
          <w:tcPr>
            <w:tcW w:w="1984" w:type="dxa"/>
            <w:vAlign w:val="center"/>
          </w:tcPr>
          <w:p w:rsidR="000F7D05" w:rsidRPr="00EC24F4" w:rsidRDefault="00C87EC9">
            <w:pPr>
              <w:ind w:left="360"/>
              <w:jc w:val="center"/>
            </w:pPr>
            <w:r w:rsidRPr="00EC24F4">
              <w:t>127 500 000</w:t>
            </w:r>
          </w:p>
        </w:tc>
        <w:tc>
          <w:tcPr>
            <w:tcW w:w="1417" w:type="dxa"/>
            <w:vAlign w:val="center"/>
          </w:tcPr>
          <w:p w:rsidR="000F7D05" w:rsidRPr="00EC24F4" w:rsidRDefault="00C87EC9">
            <w:pPr>
              <w:jc w:val="center"/>
            </w:pPr>
            <w:r w:rsidRPr="00EC24F4">
              <w:t>до 90 дней</w:t>
            </w:r>
          </w:p>
        </w:tc>
        <w:tc>
          <w:tcPr>
            <w:tcW w:w="2268" w:type="dxa"/>
          </w:tcPr>
          <w:p w:rsidR="000F7D05" w:rsidRPr="00EC24F4" w:rsidRDefault="000F7D05">
            <w:pPr>
              <w:ind w:left="34"/>
              <w:jc w:val="center"/>
              <w:rPr>
                <w:i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:rsidR="000F7D05" w:rsidRPr="00EC24F4" w:rsidRDefault="000F7D05">
            <w:pPr>
              <w:rPr>
                <w:bCs/>
                <w:i/>
                <w:highlight w:val="yellow"/>
              </w:rPr>
            </w:pPr>
          </w:p>
        </w:tc>
        <w:tc>
          <w:tcPr>
            <w:tcW w:w="2659" w:type="dxa"/>
            <w:vAlign w:val="center"/>
          </w:tcPr>
          <w:p w:rsidR="000F7D05" w:rsidRPr="00EC24F4" w:rsidRDefault="000F7D05">
            <w:pPr>
              <w:ind w:left="34"/>
              <w:jc w:val="center"/>
              <w:rPr>
                <w:i/>
                <w:highlight w:val="yellow"/>
              </w:rPr>
            </w:pPr>
          </w:p>
        </w:tc>
      </w:tr>
      <w:tr w:rsidR="00EC24F4" w:rsidRPr="00EC24F4">
        <w:trPr>
          <w:trHeight w:val="300"/>
        </w:trPr>
        <w:tc>
          <w:tcPr>
            <w:tcW w:w="2693" w:type="dxa"/>
            <w:vAlign w:val="center"/>
          </w:tcPr>
          <w:p w:rsidR="000F7D05" w:rsidRPr="00EC24F4" w:rsidRDefault="00C87EC9">
            <w:pPr>
              <w:jc w:val="center"/>
            </w:pPr>
            <w:r w:rsidRPr="00EC24F4">
              <w:t>АО «</w:t>
            </w:r>
            <w:proofErr w:type="spellStart"/>
            <w:r w:rsidRPr="00EC24F4">
              <w:t>Томскэнергосбыт</w:t>
            </w:r>
            <w:proofErr w:type="spellEnd"/>
            <w:r w:rsidRPr="00EC24F4">
              <w:t>»</w:t>
            </w:r>
          </w:p>
        </w:tc>
        <w:tc>
          <w:tcPr>
            <w:tcW w:w="2126" w:type="dxa"/>
            <w:vAlign w:val="center"/>
          </w:tcPr>
          <w:p w:rsidR="000F7D05" w:rsidRPr="00EC24F4" w:rsidRDefault="00C87EC9">
            <w:pPr>
              <w:ind w:left="34"/>
              <w:jc w:val="center"/>
            </w:pPr>
            <w:r w:rsidRPr="00EC24F4">
              <w:t>1 000 000 000</w:t>
            </w:r>
          </w:p>
        </w:tc>
        <w:tc>
          <w:tcPr>
            <w:tcW w:w="1984" w:type="dxa"/>
            <w:vAlign w:val="center"/>
          </w:tcPr>
          <w:p w:rsidR="000F7D05" w:rsidRPr="00EC24F4" w:rsidRDefault="00C87EC9">
            <w:pPr>
              <w:ind w:left="360"/>
              <w:jc w:val="center"/>
            </w:pPr>
            <w:r w:rsidRPr="00EC24F4">
              <w:t>510 000 000</w:t>
            </w:r>
          </w:p>
        </w:tc>
        <w:tc>
          <w:tcPr>
            <w:tcW w:w="1417" w:type="dxa"/>
            <w:vAlign w:val="center"/>
          </w:tcPr>
          <w:p w:rsidR="000F7D05" w:rsidRPr="00EC24F4" w:rsidRDefault="00C87EC9">
            <w:pPr>
              <w:jc w:val="center"/>
            </w:pPr>
            <w:r w:rsidRPr="00EC24F4">
              <w:t>до 90 дней</w:t>
            </w:r>
          </w:p>
        </w:tc>
        <w:tc>
          <w:tcPr>
            <w:tcW w:w="2268" w:type="dxa"/>
          </w:tcPr>
          <w:p w:rsidR="000F7D05" w:rsidRPr="00EC24F4" w:rsidRDefault="000F7D05">
            <w:pPr>
              <w:ind w:left="34"/>
              <w:jc w:val="center"/>
              <w:rPr>
                <w:highlight w:val="yellow"/>
              </w:rPr>
            </w:pPr>
          </w:p>
        </w:tc>
        <w:tc>
          <w:tcPr>
            <w:tcW w:w="2126" w:type="dxa"/>
            <w:vAlign w:val="center"/>
          </w:tcPr>
          <w:p w:rsidR="000F7D05" w:rsidRPr="00EC24F4" w:rsidRDefault="000F7D05">
            <w:pPr>
              <w:rPr>
                <w:highlight w:val="yellow"/>
              </w:rPr>
            </w:pPr>
          </w:p>
        </w:tc>
        <w:tc>
          <w:tcPr>
            <w:tcW w:w="2659" w:type="dxa"/>
            <w:vAlign w:val="center"/>
          </w:tcPr>
          <w:p w:rsidR="000F7D05" w:rsidRPr="00EC24F4" w:rsidRDefault="000F7D05">
            <w:pPr>
              <w:ind w:left="34"/>
              <w:jc w:val="center"/>
              <w:rPr>
                <w:highlight w:val="yellow"/>
              </w:rPr>
            </w:pPr>
          </w:p>
        </w:tc>
      </w:tr>
    </w:tbl>
    <w:p w:rsidR="000F7D05" w:rsidRPr="00EC24F4" w:rsidRDefault="000F7D05">
      <w:pPr>
        <w:jc w:val="right"/>
        <w:rPr>
          <w:sz w:val="20"/>
          <w:szCs w:val="20"/>
        </w:rPr>
      </w:pPr>
    </w:p>
    <w:p w:rsidR="000F7D05" w:rsidRPr="00EC24F4" w:rsidRDefault="000F7D05">
      <w:pPr>
        <w:jc w:val="right"/>
        <w:rPr>
          <w:sz w:val="20"/>
          <w:szCs w:val="20"/>
        </w:rPr>
      </w:pPr>
    </w:p>
    <w:p w:rsidR="000F7D05" w:rsidRPr="00EC24F4" w:rsidRDefault="000F7D05">
      <w:pPr>
        <w:jc w:val="right"/>
        <w:rPr>
          <w:sz w:val="20"/>
          <w:szCs w:val="20"/>
        </w:rPr>
      </w:pPr>
    </w:p>
    <w:p w:rsidR="000F7D05" w:rsidRPr="00EC24F4" w:rsidRDefault="000F7D05">
      <w:pPr>
        <w:jc w:val="right"/>
        <w:rPr>
          <w:sz w:val="20"/>
          <w:szCs w:val="20"/>
        </w:rPr>
      </w:pPr>
    </w:p>
    <w:p w:rsidR="000F7D05" w:rsidRPr="00EC24F4" w:rsidRDefault="000F7D05">
      <w:pPr>
        <w:jc w:val="right"/>
        <w:rPr>
          <w:sz w:val="20"/>
          <w:szCs w:val="20"/>
        </w:rPr>
      </w:pPr>
    </w:p>
    <w:p w:rsidR="000F7D05" w:rsidRPr="00EC24F4" w:rsidRDefault="000F7D05">
      <w:pPr>
        <w:jc w:val="right"/>
        <w:rPr>
          <w:sz w:val="20"/>
          <w:szCs w:val="20"/>
        </w:rPr>
      </w:pPr>
    </w:p>
    <w:p w:rsidR="000F7D05" w:rsidRPr="00EC24F4" w:rsidRDefault="000F7D05">
      <w:pPr>
        <w:jc w:val="right"/>
        <w:rPr>
          <w:sz w:val="20"/>
          <w:szCs w:val="20"/>
        </w:rPr>
      </w:pPr>
    </w:p>
    <w:p w:rsidR="000F7D05" w:rsidRPr="00EC24F4" w:rsidRDefault="000F7D05">
      <w:pPr>
        <w:jc w:val="right"/>
        <w:rPr>
          <w:sz w:val="20"/>
          <w:szCs w:val="20"/>
        </w:rPr>
      </w:pPr>
    </w:p>
    <w:p w:rsidR="000F7D05" w:rsidRPr="00EC24F4" w:rsidRDefault="000F7D05">
      <w:pPr>
        <w:jc w:val="right"/>
        <w:rPr>
          <w:sz w:val="20"/>
          <w:szCs w:val="20"/>
        </w:rPr>
      </w:pPr>
    </w:p>
    <w:p w:rsidR="000F7D05" w:rsidRPr="00EC24F4" w:rsidRDefault="000F7D05">
      <w:pPr>
        <w:jc w:val="right"/>
        <w:rPr>
          <w:sz w:val="20"/>
          <w:szCs w:val="20"/>
        </w:rPr>
      </w:pPr>
    </w:p>
    <w:p w:rsidR="000F7D05" w:rsidRPr="00EC24F4" w:rsidRDefault="000F7D05">
      <w:pPr>
        <w:jc w:val="right"/>
        <w:rPr>
          <w:sz w:val="20"/>
          <w:szCs w:val="20"/>
        </w:rPr>
      </w:pPr>
    </w:p>
    <w:p w:rsidR="000F7D05" w:rsidRPr="00EC24F4" w:rsidRDefault="000F7D05">
      <w:pPr>
        <w:jc w:val="right"/>
        <w:rPr>
          <w:sz w:val="20"/>
          <w:szCs w:val="20"/>
        </w:rPr>
      </w:pPr>
    </w:p>
    <w:p w:rsidR="000F7D05" w:rsidRPr="00EC24F4" w:rsidRDefault="000F7D05">
      <w:pPr>
        <w:jc w:val="right"/>
        <w:rPr>
          <w:sz w:val="20"/>
          <w:szCs w:val="20"/>
        </w:rPr>
      </w:pPr>
    </w:p>
    <w:p w:rsidR="000F7D05" w:rsidRPr="00EC24F4" w:rsidRDefault="000F7D05">
      <w:pPr>
        <w:jc w:val="right"/>
        <w:rPr>
          <w:sz w:val="20"/>
          <w:szCs w:val="20"/>
        </w:rPr>
      </w:pPr>
    </w:p>
    <w:p w:rsidR="000F7D05" w:rsidRPr="00EC24F4" w:rsidRDefault="000F7D05">
      <w:pPr>
        <w:jc w:val="right"/>
        <w:rPr>
          <w:sz w:val="20"/>
          <w:szCs w:val="20"/>
        </w:rPr>
      </w:pPr>
    </w:p>
    <w:p w:rsidR="000F7D05" w:rsidRPr="00EC24F4" w:rsidRDefault="000F7D05">
      <w:pPr>
        <w:jc w:val="right"/>
        <w:rPr>
          <w:sz w:val="20"/>
          <w:szCs w:val="20"/>
        </w:rPr>
      </w:pPr>
    </w:p>
    <w:p w:rsidR="000F7D05" w:rsidRPr="00EC24F4" w:rsidRDefault="00C87EC9">
      <w:pPr>
        <w:tabs>
          <w:tab w:val="left" w:pos="1395"/>
        </w:tabs>
        <w:rPr>
          <w:sz w:val="20"/>
          <w:szCs w:val="20"/>
        </w:rPr>
      </w:pPr>
      <w:r w:rsidRPr="00EC24F4">
        <w:rPr>
          <w:sz w:val="20"/>
          <w:szCs w:val="20"/>
        </w:rPr>
        <w:tab/>
      </w:r>
    </w:p>
    <w:p w:rsidR="000F7D05" w:rsidRPr="00EC24F4" w:rsidRDefault="000F7D05">
      <w:pPr>
        <w:tabs>
          <w:tab w:val="left" w:pos="1395"/>
        </w:tabs>
        <w:rPr>
          <w:sz w:val="20"/>
          <w:szCs w:val="20"/>
        </w:rPr>
      </w:pPr>
    </w:p>
    <w:sectPr w:rsidR="000F7D05" w:rsidRPr="00EC24F4">
      <w:pgSz w:w="16838" w:h="11906" w:orient="landscape"/>
      <w:pgMar w:top="851" w:right="709" w:bottom="850" w:left="709" w:header="708" w:footer="4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5812" w:rsidRDefault="00F15812">
      <w:r>
        <w:separator/>
      </w:r>
    </w:p>
  </w:endnote>
  <w:endnote w:type="continuationSeparator" w:id="0">
    <w:p w:rsidR="00F15812" w:rsidRDefault="00F15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auto"/>
    <w:pitch w:val="default"/>
  </w:font>
  <w:font w:name="Wingdings">
    <w:panose1 w:val="05000000000000000000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5812" w:rsidRDefault="00F15812">
      <w:r>
        <w:separator/>
      </w:r>
    </w:p>
  </w:footnote>
  <w:footnote w:type="continuationSeparator" w:id="0">
    <w:p w:rsidR="00F15812" w:rsidRDefault="00F15812">
      <w:r>
        <w:continuationSeparator/>
      </w:r>
    </w:p>
  </w:footnote>
  <w:footnote w:id="1">
    <w:p w:rsidR="000F7D05" w:rsidRDefault="00C87EC9">
      <w:pPr>
        <w:pStyle w:val="af2"/>
      </w:pPr>
      <w:r>
        <w:rPr>
          <w:rStyle w:val="af4"/>
        </w:rPr>
        <w:footnoteRef/>
      </w:r>
      <w:r>
        <w:t xml:space="preserve"> Рассчитывается на основании предложенного Участником размера процентной ставки в руб.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35BB4"/>
    <w:multiLevelType w:val="hybridMultilevel"/>
    <w:tmpl w:val="9C64187E"/>
    <w:lvl w:ilvl="0" w:tplc="1F80D594">
      <w:start w:val="1"/>
      <w:numFmt w:val="decimal"/>
      <w:lvlText w:val="%1."/>
      <w:lvlJc w:val="left"/>
      <w:pPr>
        <w:ind w:left="720" w:hanging="360"/>
      </w:pPr>
    </w:lvl>
    <w:lvl w:ilvl="1" w:tplc="49E8E03C">
      <w:start w:val="1"/>
      <w:numFmt w:val="lowerLetter"/>
      <w:lvlText w:val="%2."/>
      <w:lvlJc w:val="left"/>
      <w:pPr>
        <w:ind w:left="1440" w:hanging="360"/>
      </w:pPr>
    </w:lvl>
    <w:lvl w:ilvl="2" w:tplc="17183CD0">
      <w:start w:val="1"/>
      <w:numFmt w:val="lowerRoman"/>
      <w:lvlText w:val="%3."/>
      <w:lvlJc w:val="right"/>
      <w:pPr>
        <w:ind w:left="2160" w:hanging="180"/>
      </w:pPr>
    </w:lvl>
    <w:lvl w:ilvl="3" w:tplc="74566D8C">
      <w:start w:val="1"/>
      <w:numFmt w:val="decimal"/>
      <w:lvlText w:val="%4."/>
      <w:lvlJc w:val="left"/>
      <w:pPr>
        <w:ind w:left="2880" w:hanging="360"/>
      </w:pPr>
    </w:lvl>
    <w:lvl w:ilvl="4" w:tplc="2DAEB3D6">
      <w:start w:val="1"/>
      <w:numFmt w:val="lowerLetter"/>
      <w:lvlText w:val="%5."/>
      <w:lvlJc w:val="left"/>
      <w:pPr>
        <w:ind w:left="3600" w:hanging="360"/>
      </w:pPr>
    </w:lvl>
    <w:lvl w:ilvl="5" w:tplc="C1186944">
      <w:start w:val="1"/>
      <w:numFmt w:val="lowerRoman"/>
      <w:lvlText w:val="%6."/>
      <w:lvlJc w:val="right"/>
      <w:pPr>
        <w:ind w:left="4320" w:hanging="180"/>
      </w:pPr>
    </w:lvl>
    <w:lvl w:ilvl="6" w:tplc="AF1EA8C8">
      <w:start w:val="1"/>
      <w:numFmt w:val="decimal"/>
      <w:lvlText w:val="%7."/>
      <w:lvlJc w:val="left"/>
      <w:pPr>
        <w:ind w:left="5040" w:hanging="360"/>
      </w:pPr>
    </w:lvl>
    <w:lvl w:ilvl="7" w:tplc="9B64DEF2">
      <w:start w:val="1"/>
      <w:numFmt w:val="lowerLetter"/>
      <w:lvlText w:val="%8."/>
      <w:lvlJc w:val="left"/>
      <w:pPr>
        <w:ind w:left="5760" w:hanging="360"/>
      </w:pPr>
    </w:lvl>
    <w:lvl w:ilvl="8" w:tplc="7384040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95836"/>
    <w:multiLevelType w:val="hybridMultilevel"/>
    <w:tmpl w:val="A50A2164"/>
    <w:lvl w:ilvl="0" w:tplc="4290F8A6">
      <w:start w:val="5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8C669D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A881BC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CD8E11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68895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BD4C46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9C2CC5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85CBF9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CBC6FA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3117016D"/>
    <w:multiLevelType w:val="multilevel"/>
    <w:tmpl w:val="F300EF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8"/>
      <w:numFmt w:val="decimal"/>
      <w:lvlText w:val="%1.%2."/>
      <w:lvlJc w:val="left"/>
      <w:pPr>
        <w:ind w:left="1128" w:hanging="420"/>
      </w:pPr>
    </w:lvl>
    <w:lvl w:ilvl="2">
      <w:start w:val="1"/>
      <w:numFmt w:val="decimal"/>
      <w:lvlText w:val="%1.%2.%3."/>
      <w:lvlJc w:val="left"/>
      <w:pPr>
        <w:ind w:left="1776" w:hanging="720"/>
      </w:p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3" w15:restartNumberingAfterBreak="0">
    <w:nsid w:val="45EA64B0"/>
    <w:multiLevelType w:val="hybridMultilevel"/>
    <w:tmpl w:val="E1D65A4A"/>
    <w:lvl w:ilvl="0" w:tplc="2ABE11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84AFE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88AF28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84A3C8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F5226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70A2741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862D95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28E2F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436D44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6D5D50E4"/>
    <w:multiLevelType w:val="hybridMultilevel"/>
    <w:tmpl w:val="27B84348"/>
    <w:lvl w:ilvl="0" w:tplc="7A94FF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BAE06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EF30AF8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0F2250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F329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AC84EFA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F603AD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10C7A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48901F4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7D05"/>
    <w:rsid w:val="000F7D05"/>
    <w:rsid w:val="00C87EC9"/>
    <w:rsid w:val="00CF0600"/>
    <w:rsid w:val="00EC24F4"/>
    <w:rsid w:val="00F1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2E0CE"/>
  <w15:docId w15:val="{0FAB47EC-F210-4011-B284-B9A601B4C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rPr>
      <w:rFonts w:ascii="Times New Roman" w:eastAsia="Times New Roman" w:hAnsi="Times New Roman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rPr>
      <w:sz w:val="20"/>
      <w:szCs w:val="20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uiPriority w:val="99"/>
    <w:semiHidden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  <w:szCs w:val="20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Название"/>
    <w:basedOn w:val="a"/>
    <w:link w:val="afb"/>
    <w:qFormat/>
    <w:pPr>
      <w:jc w:val="center"/>
    </w:pPr>
    <w:rPr>
      <w:b/>
      <w:bCs/>
      <w:sz w:val="28"/>
    </w:rPr>
  </w:style>
  <w:style w:type="character" w:customStyle="1" w:styleId="afb">
    <w:name w:val="Название Знак"/>
    <w:link w:val="a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c">
    <w:name w:val="page number"/>
    <w:basedOn w:val="a0"/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annotation text"/>
    <w:basedOn w:val="a"/>
    <w:link w:val="afe"/>
    <w:uiPriority w:val="99"/>
    <w:unhideWhenUsed/>
    <w:rPr>
      <w:sz w:val="20"/>
      <w:szCs w:val="20"/>
    </w:rPr>
  </w:style>
  <w:style w:type="character" w:customStyle="1" w:styleId="afe">
    <w:name w:val="Текст примечания Знак"/>
    <w:link w:val="afd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semiHidden/>
    <w:rPr>
      <w:b/>
      <w:bCs/>
    </w:rPr>
  </w:style>
  <w:style w:type="character" w:customStyle="1" w:styleId="aff0">
    <w:name w:val="Тема примечания Знак"/>
    <w:link w:val="aff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ff1">
    <w:name w:val="annotation reference"/>
    <w:uiPriority w:val="99"/>
    <w:semiHidden/>
    <w:unhideWhenUsed/>
    <w:rPr>
      <w:sz w:val="16"/>
      <w:szCs w:val="16"/>
    </w:rPr>
  </w:style>
  <w:style w:type="paragraph" w:styleId="aff2">
    <w:name w:val="Balloon Text"/>
    <w:basedOn w:val="a"/>
    <w:link w:val="aff3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link w:val="aff2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match">
    <w:name w:val="match"/>
    <w:basedOn w:val="a0"/>
  </w:style>
  <w:style w:type="paragraph" w:customStyle="1" w:styleId="FORMATTEXT">
    <w:name w:val=".FORMATTEXT"/>
    <w:uiPriority w:val="99"/>
    <w:pPr>
      <w:widowControl w:val="0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formattext0">
    <w:name w:val="formattext"/>
    <w:basedOn w:val="a"/>
    <w:pPr>
      <w:spacing w:before="100" w:beforeAutospacing="1" w:after="100" w:afterAutospacing="1"/>
    </w:pPr>
  </w:style>
  <w:style w:type="paragraph" w:customStyle="1" w:styleId="aff4">
    <w:name w:val="."/>
    <w:uiPriority w:val="99"/>
    <w:pPr>
      <w:widowControl w:val="0"/>
    </w:pPr>
    <w:rPr>
      <w:rFonts w:ascii="Times New Roman" w:eastAsia="Times New Roman" w:hAnsi="Times New Roman"/>
      <w:sz w:val="24"/>
      <w:szCs w:val="24"/>
    </w:rPr>
  </w:style>
  <w:style w:type="character" w:customStyle="1" w:styleId="af3">
    <w:name w:val="Текст сноски Знак"/>
    <w:link w:val="af2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ff5">
    <w:name w:val="Гипертекстовая ссылка"/>
    <w:uiPriority w:val="99"/>
    <w:rPr>
      <w:rFonts w:ascii="Times New Roman" w:hAnsi="Times New Roman" w:cs="Times New Roman"/>
      <w:color w:val="000000"/>
      <w:sz w:val="26"/>
    </w:rPr>
  </w:style>
  <w:style w:type="paragraph" w:styleId="aff6">
    <w:name w:val="Normal (Web)"/>
    <w:basedOn w:val="a"/>
    <w:uiPriority w:val="99"/>
    <w:unhideWhenUsed/>
    <w:pPr>
      <w:spacing w:before="240" w:after="240"/>
    </w:pPr>
    <w:rPr>
      <w:color w:val="252525"/>
    </w:rPr>
  </w:style>
  <w:style w:type="character" w:customStyle="1" w:styleId="ae">
    <w:name w:val="Нижний колонтитул Знак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Pr>
      <w:rFonts w:ascii="Arial" w:hAnsi="Arial" w:cs="Arial"/>
      <w:sz w:val="24"/>
      <w:szCs w:val="24"/>
      <w:lang w:eastAsia="en-US"/>
    </w:rPr>
  </w:style>
  <w:style w:type="paragraph" w:customStyle="1" w:styleId="ConsPlusNormal">
    <w:name w:val="ConsPlusNormal"/>
    <w:pPr>
      <w:widowControl w:val="0"/>
    </w:pPr>
    <w:rPr>
      <w:rFonts w:ascii="Arial" w:eastAsia="Times New Roman" w:hAnsi="Arial" w:cs="Arial"/>
    </w:rPr>
  </w:style>
  <w:style w:type="character" w:styleId="aff7">
    <w:name w:val="FollowedHyperlink"/>
    <w:uiPriority w:val="99"/>
    <w:semiHidden/>
    <w:unhideWhenUsed/>
    <w:rPr>
      <w:color w:val="800080"/>
      <w:u w:val="single"/>
    </w:rPr>
  </w:style>
  <w:style w:type="paragraph" w:customStyle="1" w:styleId="headertext">
    <w:name w:val="headertext"/>
    <w:basedOn w:val="a"/>
    <w:pPr>
      <w:spacing w:before="100" w:beforeAutospacing="1" w:after="100" w:afterAutospacing="1"/>
    </w:pPr>
  </w:style>
  <w:style w:type="paragraph" w:styleId="aff8">
    <w:name w:val="toa heading"/>
    <w:basedOn w:val="a"/>
    <w:next w:val="a"/>
    <w:uiPriority w:val="99"/>
    <w:semiHidden/>
    <w:unhideWhenUsed/>
    <w:pPr>
      <w:spacing w:before="120"/>
    </w:pPr>
    <w:rPr>
      <w:rFonts w:ascii="Cambria" w:hAnsi="Cambria"/>
      <w:b/>
      <w:bCs/>
    </w:rPr>
  </w:style>
  <w:style w:type="paragraph" w:styleId="aff9">
    <w:name w:val="Revision"/>
    <w:hidden/>
    <w:uiPriority w:val="99"/>
    <w:semiHidden/>
    <w:rPr>
      <w:rFonts w:ascii="Times New Roman" w:eastAsia="Times New Roman" w:hAnsi="Times New Roman"/>
      <w:sz w:val="24"/>
      <w:szCs w:val="24"/>
    </w:rPr>
  </w:style>
  <w:style w:type="paragraph" w:styleId="33">
    <w:name w:val="Body Text Indent 3"/>
    <w:basedOn w:val="a"/>
    <w:link w:val="3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6">
    <w:name w:val="Текст концевой сноски Знак"/>
    <w:link w:val="af5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Знак1"/>
    <w:uiPriority w:val="99"/>
    <w:rPr>
      <w:rFonts w:ascii="Arial" w:hAnsi="Arial" w:cs="Arial"/>
      <w:shd w:val="clear" w:color="auto" w:fill="FFFFFF"/>
    </w:rPr>
  </w:style>
  <w:style w:type="character" w:styleId="affa">
    <w:name w:val="Strong"/>
    <w:uiPriority w:val="22"/>
    <w:qFormat/>
    <w:rPr>
      <w:b/>
      <w:bCs/>
    </w:rPr>
  </w:style>
  <w:style w:type="paragraph" w:styleId="affb">
    <w:name w:val="Body Text"/>
    <w:basedOn w:val="a"/>
    <w:link w:val="affc"/>
    <w:uiPriority w:val="99"/>
    <w:unhideWhenUsed/>
    <w:pPr>
      <w:spacing w:after="120"/>
    </w:pPr>
  </w:style>
  <w:style w:type="character" w:customStyle="1" w:styleId="affc">
    <w:name w:val="Основной текст Знак"/>
    <w:link w:val="aff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br.ru/cred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2043</Words>
  <Characters>11648</Characters>
  <Application>Microsoft Office Word</Application>
  <DocSecurity>0</DocSecurity>
  <Lines>97</Lines>
  <Paragraphs>27</Paragraphs>
  <ScaleCrop>false</ScaleCrop>
  <Company>Inter RAO UES</Company>
  <LinksUpToDate>false</LinksUpToDate>
  <CharactersWithSpaces>13664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Корсаков Алексей Борисович</dc:creator>
  <cp:lastModifiedBy>Арюткин Олег Юрьевич</cp:lastModifiedBy>
  <cp:revision>18</cp:revision>
  <dcterms:created xsi:type="dcterms:W3CDTF">2021-11-03T08:59:00Z</dcterms:created>
  <dcterms:modified xsi:type="dcterms:W3CDTF">2023-09-15T12:30:00Z</dcterms:modified>
  <cp:version>1048576</cp:version>
</cp:coreProperties>
</file>