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9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86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9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98130666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306665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9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2B4FA3">
            <w:pPr>
              <w:pStyle w:val="EMPTYCELLSTYLE"/>
            </w:pPr>
          </w:p>
        </w:tc>
        <w:tc>
          <w:tcPr>
            <w:tcW w:w="386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9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86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9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86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424.23.00146 Система хранения данных и оптические коммутаторы</w:t>
            </w: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486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2B4FA3">
                        <w:pPr>
                          <w:ind w:firstLine="100"/>
                        </w:pP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2B4FA3">
                        <w:pPr>
                          <w:ind w:firstLine="100"/>
                        </w:pP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33%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33%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2B4FA3">
                        <w:pPr>
                          <w:ind w:firstLine="100"/>
                        </w:pP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2B4FA3">
                        <w:pPr>
                          <w:ind w:firstLine="100"/>
                        </w:pP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54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поставляемой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</w:t>
                  </w:r>
                  <w:r>
                    <w:rPr>
                      <w:color w:val="000000"/>
                      <w:sz w:val="24"/>
                    </w:rPr>
                    <w:t>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4.4.1.  Присвоение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  <w:t>4.4.2.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4.2 </w:t>
                  </w:r>
                  <w:r>
                    <w:rPr>
                      <w:color w:val="000000"/>
                      <w:sz w:val="24"/>
                    </w:rPr>
                    <w:t>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  <w:t xml:space="preserve">4.4.3.  Присвоение баллов заявкам по критерию 4.3 Ресурсные возможности осуществляется на основании суммы </w:t>
                  </w:r>
                  <w:r>
                    <w:rPr>
                      <w:color w:val="000000"/>
                      <w:sz w:val="24"/>
                    </w:rPr>
                    <w:t>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  <w:t>4.4.5.  Присвоение баллов заявкам по критерию 4.5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4.5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</w:t>
                  </w:r>
                  <w:r>
                    <w:rPr>
                      <w:color w:val="000000"/>
                      <w:sz w:val="24"/>
                    </w:rPr>
                    <w:t>я критерия 4.5.</w:t>
                  </w: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B4FA3" w:rsidRDefault="00D34517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</w:t>
            </w:r>
            <w:r>
              <w:rPr>
                <w:color w:val="000000"/>
                <w:sz w:val="24"/>
              </w:rPr>
              <w:t>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</w:t>
            </w:r>
            <w:r>
              <w:rPr>
                <w:color w:val="000000"/>
                <w:sz w:val="24"/>
              </w:rPr>
              <w:t>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</w:t>
            </w:r>
            <w:r>
              <w:rPr>
                <w:color w:val="000000"/>
                <w:sz w:val="24"/>
              </w:rPr>
              <w:t xml:space="preserve">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</w:t>
            </w:r>
            <w:r>
              <w:rPr>
                <w:color w:val="000000"/>
                <w:sz w:val="24"/>
              </w:rPr>
              <w:t>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</w:t>
            </w:r>
            <w:r>
              <w:rPr>
                <w:color w:val="000000"/>
                <w:sz w:val="24"/>
              </w:rPr>
              <w:t>ые предложения).</w:t>
            </w:r>
          </w:p>
        </w:tc>
        <w:tc>
          <w:tcPr>
            <w:tcW w:w="100" w:type="dxa"/>
          </w:tcPr>
          <w:p w:rsidR="002B4FA3" w:rsidRDefault="002B4FA3">
            <w:pPr>
              <w:pStyle w:val="EMPTYCELLSTYLE"/>
            </w:pPr>
          </w:p>
        </w:tc>
      </w:tr>
    </w:tbl>
    <w:p w:rsidR="002B4FA3" w:rsidRDefault="002B4FA3">
      <w:pPr>
        <w:sectPr w:rsidR="002B4FA3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Лот №: 424.23.00146</w:t>
            </w:r>
          </w:p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0B1427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bookmarkStart w:id="0" w:name="JR_PAGE_ANCHOR_0_1"/>
                  <w:bookmarkEnd w:id="0"/>
                </w:p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2B4FA3" w:rsidRDefault="002B4FA3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Лот №: 424.23.00146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D34517">
                  <w:r>
                    <w:br w:type="page"/>
                  </w:r>
                </w:p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bookmarkStart w:id="2" w:name="JR_PAGE_ANCHOR_0_3"/>
                  <w:bookmarkEnd w:id="2"/>
                </w:p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>
            <w:pPr>
              <w:jc w:val="center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8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34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D34517">
                  <w:r>
                    <w:br w:type="page"/>
                  </w:r>
                </w:p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bookmarkStart w:id="3" w:name="JR_PAGE_ANCHOR_0_4"/>
                  <w:bookmarkEnd w:id="3"/>
                </w:p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Лот №: 424.23.00146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D34517">
                  <w:r>
                    <w:br w:type="page"/>
                  </w:r>
                </w:p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bookmarkStart w:id="4" w:name="JR_PAGE_ANCHOR_0_5"/>
                  <w:bookmarkEnd w:id="4"/>
                </w:p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2B4FA3" w:rsidRDefault="002B4FA3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Лот №: 424.23.00146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D34517">
                  <w:r>
                    <w:br w:type="page"/>
                  </w:r>
                </w:p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bookmarkStart w:id="6" w:name="JR_PAGE_ANCHOR_0_7"/>
                  <w:bookmarkEnd w:id="6"/>
                </w:p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2B4FA3" w:rsidRDefault="002B4FA3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требованиям Закупочной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подтвердил гарантийные обязательства,  либо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Предложенные гарантийные обязательства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гарантийные обязательства  улучшают требования закупочной документации, но не более чем в 2 раза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Предложенные га</w:t>
                        </w:r>
                        <w:r>
                          <w:rPr>
                            <w:color w:val="000000"/>
                            <w:sz w:val="24"/>
                          </w:rPr>
                          <w:t>рантийные обязательства  улучшают требования закупочной документации более чем в 2 раза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  <w:bookmarkStart w:id="8" w:name="JR_PAGE_ANCHOR_0_9"/>
            <w:bookmarkEnd w:id="8"/>
          </w:p>
        </w:tc>
        <w:tc>
          <w:tcPr>
            <w:tcW w:w="16100" w:type="dxa"/>
            <w:gridSpan w:val="15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3 балла - Предложенные временные параметры поставки  </w:t>
                        </w:r>
                        <w:r>
                          <w:rPr>
                            <w:color w:val="000000"/>
                            <w:sz w:val="24"/>
                          </w:rPr>
                          <w:t>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поставки участника  улучшают требования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</w:t>
                        </w:r>
                        <w:r>
                          <w:rPr>
                            <w:color w:val="000000"/>
                            <w:sz w:val="24"/>
                          </w:rPr>
                          <w:t>в - Оценка не используется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Лот №: 424.23.00146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D34517">
                  <w:r>
                    <w:br w:type="page"/>
                  </w:r>
                </w:p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bookmarkStart w:id="9" w:name="JR_PAGE_ANCHOR_0_10"/>
                  <w:bookmarkEnd w:id="9"/>
                </w:p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  <w:bookmarkStart w:id="10" w:name="JR_PAGE_ANCHOR_0_11"/>
            <w:bookmarkEnd w:id="10"/>
          </w:p>
        </w:tc>
        <w:tc>
          <w:tcPr>
            <w:tcW w:w="9800" w:type="dxa"/>
            <w:gridSpan w:val="6"/>
          </w:tcPr>
          <w:p w:rsidR="002B4FA3" w:rsidRDefault="002B4FA3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документации и/или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представление документов,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</w:t>
                        </w:r>
                        <w:r>
                          <w:rPr>
                            <w:color w:val="000000"/>
                            <w:sz w:val="24"/>
                          </w:rPr>
                          <w:t>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</w:t>
                        </w:r>
                        <w:r>
                          <w:rPr>
                            <w:color w:val="000000"/>
                            <w:sz w:val="24"/>
                          </w:rPr>
                          <w:t>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диапазон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используется для оценки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протокол разног</w:t>
                        </w:r>
                        <w:r>
                          <w:rPr>
                            <w:color w:val="000000"/>
                            <w:sz w:val="24"/>
                          </w:rPr>
                          <w:t>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Лот №: 424.23.00146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2B4FA3"/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2B4FA3" w:rsidRDefault="002B4FA3">
            <w:pPr>
              <w:pStyle w:val="EMPTYCELLSTYLE"/>
            </w:pPr>
          </w:p>
        </w:tc>
        <w:tc>
          <w:tcPr>
            <w:tcW w:w="200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2B4FA3" w:rsidRDefault="002B4FA3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D34517">
                  <w:r>
                    <w:br w:type="page"/>
                  </w:r>
                </w:p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/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bookmarkStart w:id="11" w:name="JR_PAGE_ANCHOR_0_12"/>
                  <w:bookmarkEnd w:id="11"/>
                </w:p>
                <w:p w:rsidR="002B4FA3" w:rsidRDefault="00D34517">
                  <w:r>
                    <w:br w:type="page"/>
                  </w:r>
                </w:p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20" w:type="dxa"/>
          </w:tcPr>
          <w:p w:rsidR="002B4FA3" w:rsidRDefault="002B4FA3">
            <w:pPr>
              <w:pStyle w:val="EMPTYCELLSTYLE"/>
            </w:pPr>
          </w:p>
        </w:tc>
        <w:tc>
          <w:tcPr>
            <w:tcW w:w="320" w:type="dxa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9800" w:type="dxa"/>
            <w:gridSpan w:val="6"/>
          </w:tcPr>
          <w:p w:rsidR="002B4FA3" w:rsidRDefault="002B4FA3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4FA3" w:rsidRDefault="00D34517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748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</w:t>
                        </w:r>
                        <w:r>
                          <w:rPr>
                            <w:color w:val="000000"/>
                            <w:sz w:val="24"/>
                          </w:rPr>
                          <w:t>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2B4FA3" w:rsidRDefault="002B4FA3">
            <w:pPr>
              <w:pStyle w:val="EMPTYCELLSTYLE"/>
              <w:pageBreakBefore/>
            </w:pPr>
            <w:bookmarkStart w:id="13" w:name="JR_PAGE_ANCHOR_0_14"/>
            <w:bookmarkEnd w:id="13"/>
          </w:p>
        </w:tc>
        <w:tc>
          <w:tcPr>
            <w:tcW w:w="16100" w:type="dxa"/>
            <w:gridSpan w:val="15"/>
          </w:tcPr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  <w:tr w:rsidR="002B4FA3">
        <w:tblPrEx>
          <w:tblCellMar>
            <w:top w:w="0" w:type="dxa"/>
            <w:bottom w:w="0" w:type="dxa"/>
          </w:tblCellMar>
        </w:tblPrEx>
        <w:trPr>
          <w:trHeight w:hRule="exact" w:val="8020"/>
        </w:trPr>
        <w:tc>
          <w:tcPr>
            <w:tcW w:w="1" w:type="dxa"/>
          </w:tcPr>
          <w:p w:rsidR="002B4FA3" w:rsidRDefault="002B4FA3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поставок соответствует минимальным обязательным требованиям за</w:t>
                        </w:r>
                        <w:r>
                          <w:rPr>
                            <w:color w:val="000000"/>
                            <w:sz w:val="24"/>
                          </w:rPr>
                          <w:t>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Опыт поставок превышает  минимальные обязательные требования закупочной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требованиям закупочной документации и подтверждены желательные требования по опыт</w:t>
                        </w:r>
                        <w:r>
                          <w:rPr>
                            <w:color w:val="000000"/>
                            <w:sz w:val="24"/>
                          </w:rPr>
                          <w:t>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Опыт поставок превышает  минимальные обязательные требования закупочной </w:t>
                        </w:r>
                        <w:r w:rsidR="000B1427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bookmarkStart w:id="14" w:name="_GoBack"/>
                        <w:bookmarkEnd w:id="14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</w:t>
                        </w:r>
                        <w:r>
                          <w:rPr>
                            <w:color w:val="000000"/>
                            <w:sz w:val="24"/>
                          </w:rPr>
                          <w:t>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  <w:tr w:rsidR="002B4FA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5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D34517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Отношения с производителем не подтверждены, либо отсутствует подтверждение, что участник является производителем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Участник соответствует требованиям Закупочной документации по предоставлению полномочий производителя на всю продукцию, либо лично является производителем всей продукции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Данный диапазон не используется</w:t>
                        </w: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B4FA3" w:rsidRDefault="00D34517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2B4FA3" w:rsidRDefault="002B4FA3">
                        <w:pPr>
                          <w:pStyle w:val="EMPTYCELLSTYLE"/>
                        </w:pPr>
                      </w:p>
                    </w:tc>
                  </w:tr>
                  <w:tr w:rsidR="002B4FA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B4FA3" w:rsidRDefault="002B4FA3"/>
                    </w:tc>
                  </w:tr>
                </w:tbl>
                <w:p w:rsidR="002B4FA3" w:rsidRDefault="002B4FA3">
                  <w:pPr>
                    <w:pStyle w:val="EMPTYCELLSTYLE"/>
                  </w:pPr>
                </w:p>
              </w:tc>
            </w:tr>
          </w:tbl>
          <w:p w:rsidR="002B4FA3" w:rsidRDefault="002B4FA3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2B4FA3" w:rsidRDefault="002B4FA3">
            <w:pPr>
              <w:pStyle w:val="EMPTYCELLSTYLE"/>
            </w:pPr>
          </w:p>
        </w:tc>
      </w:tr>
    </w:tbl>
    <w:p w:rsidR="00D34517" w:rsidRDefault="00D34517"/>
    <w:sectPr w:rsidR="00D34517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FA3"/>
    <w:rsid w:val="000B1427"/>
    <w:rsid w:val="002B4FA3"/>
    <w:rsid w:val="00D3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7FD8B3-52F9-4DD3-BE66-1606DEF8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4167</Words>
  <Characters>23753</Characters>
  <Application>Microsoft Office Word</Application>
  <DocSecurity>0</DocSecurity>
  <Lines>197</Lines>
  <Paragraphs>55</Paragraphs>
  <ScaleCrop>false</ScaleCrop>
  <Company/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2023-04-12T06:51:00Z</dcterms:created>
  <dcterms:modified xsi:type="dcterms:W3CDTF">2023-04-12T06:53:00Z</dcterms:modified>
</cp:coreProperties>
</file>