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E01A18">
        <w:trPr>
          <w:trHeight w:val="2370"/>
        </w:trPr>
        <w:tc>
          <w:tcPr>
            <w:tcW w:w="4990" w:type="dxa"/>
          </w:tcPr>
          <w:p w:rsidR="00E01A18" w:rsidRPr="00DA4A0F" w:rsidRDefault="00DA4A0F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A"/>
                <w:lang w:val="ru-RU" w:eastAsia="ru-RU"/>
              </w:rPr>
            </w:pPr>
            <w:r w:rsidRPr="00DA4A0F">
              <w:rPr>
                <w:rFonts w:ascii="Times New Roman" w:eastAsia="Times New Roman" w:hAnsi="Times New Roman"/>
                <w:color w:val="00000A"/>
                <w:lang w:val="ru-RU" w:eastAsia="ru-RU"/>
              </w:rPr>
              <w:t>Согласовано:</w:t>
            </w:r>
          </w:p>
          <w:p w:rsidR="00E01A18" w:rsidRPr="00DA4A0F" w:rsidRDefault="00DA4A0F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lang w:val="ru-RU" w:eastAsia="ru-RU"/>
              </w:rPr>
            </w:pPr>
            <w:r w:rsidRPr="00DA4A0F">
              <w:rPr>
                <w:rFonts w:ascii="Times New Roman" w:eastAsia="Times New Roman" w:hAnsi="Times New Roman"/>
                <w:color w:val="00000A"/>
                <w:lang w:val="ru-RU" w:eastAsia="ru-RU"/>
              </w:rPr>
              <w:t>Начальник управления производственно-хозяйственного обеспечения</w:t>
            </w:r>
          </w:p>
          <w:p w:rsidR="00E01A18" w:rsidRPr="00DA4A0F" w:rsidRDefault="00E01A18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lang w:val="ru-RU" w:eastAsia="ru-RU"/>
              </w:rPr>
            </w:pPr>
          </w:p>
          <w:p w:rsidR="00E01A18" w:rsidRDefault="00DA4A0F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lang w:eastAsia="ru-RU"/>
              </w:rPr>
              <w:t>__________________ (С.В. Агапеев) «___»______________ 2023г.</w:t>
            </w:r>
          </w:p>
        </w:tc>
        <w:tc>
          <w:tcPr>
            <w:tcW w:w="4604" w:type="dxa"/>
          </w:tcPr>
          <w:p w:rsidR="00E01A18" w:rsidRDefault="00E01A18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01A18" w:rsidRDefault="00DA4A0F">
      <w:pPr>
        <w:spacing w:after="0"/>
        <w:jc w:val="center"/>
        <w:rPr>
          <w:rFonts w:ascii="Times New Roman" w:eastAsia="Times New Roman" w:hAnsi="Times New Roman"/>
          <w:b/>
          <w:bCs/>
          <w:szCs w:val="28"/>
          <w:highlight w:val="white"/>
        </w:rPr>
      </w:pPr>
      <w:r>
        <w:rPr>
          <w:rFonts w:ascii="Times New Roman" w:eastAsia="Times New Roman" w:hAnsi="Times New Roman"/>
          <w:b/>
          <w:bCs/>
          <w:szCs w:val="28"/>
          <w:highlight w:val="white"/>
          <w:lang w:eastAsia="ru-RU"/>
        </w:rPr>
        <w:t>ТЕХНИЧЕСКОЕ ЗАДАНИЕ</w:t>
      </w:r>
    </w:p>
    <w:p w:rsidR="00E01A18" w:rsidRPr="00DA4A0F" w:rsidRDefault="00DA4A0F">
      <w:pPr>
        <w:keepNext/>
        <w:keepLines/>
        <w:shd w:val="clear" w:color="auto" w:fill="FFFFFF"/>
        <w:spacing w:after="187" w:line="260" w:lineRule="exact"/>
        <w:ind w:right="60"/>
        <w:jc w:val="center"/>
        <w:rPr>
          <w:rFonts w:ascii="Times New Roman" w:eastAsia="Sylfaen" w:hAnsi="Times New Roman"/>
          <w:color w:val="000000"/>
          <w:szCs w:val="28"/>
          <w:lang w:val="ru-RU"/>
        </w:rPr>
      </w:pPr>
      <w:r w:rsidRPr="00DA4A0F">
        <w:rPr>
          <w:rFonts w:ascii="Times New Roman" w:eastAsia="Sylfaen" w:hAnsi="Times New Roman"/>
          <w:color w:val="000000"/>
          <w:szCs w:val="28"/>
          <w:lang w:val="ru-RU" w:eastAsia="ar-SA"/>
        </w:rPr>
        <w:t>на поставку и монтаж кондиционера для нужд АО «Томскэнергосбыт»</w:t>
      </w:r>
    </w:p>
    <w:p w:rsidR="00E01A18" w:rsidRPr="00DA4A0F" w:rsidRDefault="00E01A18">
      <w:pPr>
        <w:spacing w:after="0"/>
        <w:jc w:val="both"/>
        <w:rPr>
          <w:rFonts w:ascii="Times New Roman" w:eastAsiaTheme="minorEastAsia" w:hAnsi="Times New Roman"/>
          <w:b/>
          <w:szCs w:val="28"/>
          <w:lang w:val="ru-RU"/>
        </w:rPr>
      </w:pP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1. КРАТКОЕ ОПИСАНИЕ ЗАКУПАЕМЫХ ТОВАРОВ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1.1. Наименование и объем закупаемых товаров</w:t>
      </w:r>
    </w:p>
    <w:p w:rsidR="00E01A18" w:rsidRPr="00DA4A0F" w:rsidRDefault="00DA4A0F">
      <w:pPr>
        <w:shd w:val="clear" w:color="auto" w:fill="FFFFFF"/>
        <w:spacing w:after="0"/>
        <w:ind w:firstLine="708"/>
        <w:jc w:val="both"/>
        <w:rPr>
          <w:rFonts w:ascii="Times New Roman" w:eastAsia="Sylfaen" w:hAnsi="Times New Roman"/>
          <w:color w:val="000000"/>
          <w:szCs w:val="28"/>
          <w:lang w:val="ru-RU"/>
        </w:rPr>
      </w:pPr>
      <w:r w:rsidRPr="00DA4A0F">
        <w:rPr>
          <w:rFonts w:ascii="Times New Roman" w:eastAsiaTheme="minorEastAsia" w:hAnsi="Times New Roman"/>
          <w:color w:val="000000"/>
          <w:szCs w:val="28"/>
          <w:lang w:val="ru-RU" w:eastAsia="ar-SA"/>
        </w:rPr>
        <w:t>Поставка и монтаж кондиционеров (Товар) по количеству и наименованию в соответствии со Спецификацией (Приложение №1 к ТЗ).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1.2. Сроки поставки товаров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Начало поставки – 04.2023г.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Окончание поставки – 06.2023г.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 xml:space="preserve">1.3. </w:t>
      </w:r>
      <w:r w:rsidRPr="00DA4A0F">
        <w:rPr>
          <w:rFonts w:ascii="Times New Roman" w:eastAsiaTheme="minorEastAsia" w:hAnsi="Times New Roman"/>
          <w:b/>
          <w:lang w:val="ru-RU"/>
        </w:rPr>
        <w:t>Возможность поставки эквивалентного товара</w:t>
      </w: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.</w:t>
      </w:r>
      <w:r w:rsidRPr="00DA4A0F"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 xml:space="preserve"> 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 xml:space="preserve">Применение эквивалента возможно при условии соответствия кондиционеров по функциональным, техническим характеристикам и условиям применения не ниже/хуже требуемых в техническом задании (далее – ТЗ) в соответствии со Спецификацией (Приложение №1 к ТЗ),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:rsidR="00DA4A0F" w:rsidRDefault="00DA4A0F">
      <w:pPr>
        <w:spacing w:after="0"/>
        <w:jc w:val="both"/>
        <w:rPr>
          <w:rFonts w:ascii="Times New Roman" w:eastAsiaTheme="minorEastAsia" w:hAnsi="Times New Roman"/>
          <w:b/>
          <w:szCs w:val="28"/>
          <w:lang w:val="ru-RU" w:eastAsia="ru-RU"/>
        </w:rPr>
      </w:pP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2. ОБЩИЕ ТРЕБОВАНИЯ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2.1. Место применения, использования товара.</w:t>
      </w:r>
    </w:p>
    <w:p w:rsidR="00E01A18" w:rsidRPr="00DA4A0F" w:rsidRDefault="00DA4A0F" w:rsidP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 xml:space="preserve">Кондиционеры должны быть установлены в административном здании </w:t>
      </w:r>
      <w:r>
        <w:rPr>
          <w:rFonts w:ascii="Times New Roman" w:eastAsiaTheme="minorEastAsia" w:hAnsi="Times New Roman"/>
          <w:szCs w:val="28"/>
          <w:lang w:val="ru-RU" w:eastAsia="ru-RU"/>
        </w:rPr>
        <w:t>АО </w:t>
      </w:r>
      <w:r w:rsidRPr="00DA4A0F">
        <w:rPr>
          <w:rFonts w:ascii="Times New Roman" w:eastAsiaTheme="minorEastAsia" w:hAnsi="Times New Roman"/>
          <w:szCs w:val="28"/>
          <w:lang w:val="ru-RU" w:eastAsia="ru-RU"/>
        </w:rPr>
        <w:t>«Томскэнергосбыт» в рабочие дни с 8.00ч. до 12.00ч. и с 13.00ч. до 17.00ч. по</w:t>
      </w:r>
      <w:r>
        <w:rPr>
          <w:rFonts w:ascii="Times New Roman" w:eastAsiaTheme="minorEastAsia" w:hAnsi="Times New Roman"/>
          <w:szCs w:val="28"/>
          <w:lang w:val="ru-RU" w:eastAsia="ru-RU"/>
        </w:rPr>
        <w:t xml:space="preserve"> адресу: г. </w:t>
      </w:r>
      <w:r w:rsidRPr="00DA4A0F">
        <w:rPr>
          <w:rFonts w:ascii="Times New Roman" w:eastAsiaTheme="minorEastAsia" w:hAnsi="Times New Roman"/>
          <w:szCs w:val="28"/>
          <w:lang w:val="ru-RU" w:eastAsia="ru-RU"/>
        </w:rPr>
        <w:t>Томск, ул. Котовского, 19</w:t>
      </w:r>
      <w:r>
        <w:rPr>
          <w:rFonts w:ascii="Times New Roman" w:eastAsiaTheme="minorEastAsia" w:hAnsi="Times New Roman"/>
          <w:szCs w:val="28"/>
          <w:lang w:val="ru-RU" w:eastAsia="ru-RU"/>
        </w:rPr>
        <w:t>.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2.2. Требования к товару</w:t>
      </w:r>
    </w:p>
    <w:p w:rsidR="00E01A18" w:rsidRPr="00DA4A0F" w:rsidRDefault="00DA4A0F" w:rsidP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 xml:space="preserve">Поставляемые кондиционеры должны быть новыми, не использованными ранее и представлять собой оригинальную современную модель, а также учитывать последние достижения в области конструкций, при этом поставляемые кондиционеры должны быть изготовлены не ранее 2022г. 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 xml:space="preserve">2.3. </w:t>
      </w:r>
      <w:r w:rsidRPr="00DA4A0F">
        <w:rPr>
          <w:rFonts w:ascii="Times New Roman" w:eastAsiaTheme="minorEastAsia" w:hAnsi="Times New Roman"/>
          <w:b/>
          <w:highlight w:val="white"/>
          <w:lang w:val="ru-RU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eastAsiaTheme="minorEastAsia" w:hAnsi="Times New Roman"/>
          <w:lang w:val="ru-RU"/>
        </w:rPr>
        <w:t>Не требуется.</w:t>
      </w:r>
    </w:p>
    <w:p w:rsidR="00E01A18" w:rsidRPr="00DA4A0F" w:rsidRDefault="00DA4A0F">
      <w:pPr>
        <w:spacing w:after="0"/>
        <w:jc w:val="both"/>
        <w:rPr>
          <w:rFonts w:ascii="Times New Roman" w:hAnsi="Times New Roman"/>
          <w:b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 xml:space="preserve">2.4. </w:t>
      </w:r>
      <w:r w:rsidRPr="00DA4A0F">
        <w:rPr>
          <w:rFonts w:ascii="Times New Roman" w:eastAsiaTheme="minorEastAsia" w:hAnsi="Times New Roman"/>
          <w:b/>
          <w:highlight w:val="white"/>
          <w:lang w:val="ru-RU"/>
        </w:rPr>
        <w:t>Требования о добровольной сертификации товаров</w:t>
      </w:r>
    </w:p>
    <w:p w:rsidR="00E01A18" w:rsidRPr="00DA4A0F" w:rsidRDefault="00DA4A0F" w:rsidP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lang w:val="ru-RU"/>
        </w:rPr>
        <w:t>Не требуется.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 xml:space="preserve">2.5. </w:t>
      </w:r>
      <w:r w:rsidRPr="00DA4A0F">
        <w:rPr>
          <w:rFonts w:ascii="Times New Roman" w:eastAsiaTheme="minorEastAsia" w:hAnsi="Times New Roman"/>
          <w:b/>
          <w:highlight w:val="white"/>
          <w:lang w:val="ru-RU"/>
        </w:rPr>
        <w:t>Требования к гарантийному сроку и (или) объёму предоставления гарантий качества на поставляемый товар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lang w:val="ru-RU"/>
        </w:rPr>
        <w:t xml:space="preserve">Гарантийные обязательства должны соответствовать гарантийному сроку завода-изготовителя, указанному в паспорте на кондиционеры, и составлять не менее 24 месяцев с момента ввода в эксплуатацию. В случае если гарантийный срок завода-изготовителя составляет менее 24 месяцев, Поставщик принимает на себя обязательства по дополнительному гарантийному сроку за свой счет, до момента наступления указанного срока. 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lang w:val="ru-RU"/>
        </w:rPr>
        <w:t xml:space="preserve">В случае обнаружения в течение гарантийного срока несоответствия качества поставляемых кондиционеров, Поставщик обязан в течение 3-х дней с даты получения </w:t>
      </w:r>
      <w:r w:rsidRPr="00DA4A0F">
        <w:rPr>
          <w:rFonts w:ascii="Times New Roman" w:eastAsiaTheme="minorEastAsia" w:hAnsi="Times New Roman"/>
          <w:lang w:val="ru-RU"/>
        </w:rPr>
        <w:lastRenderedPageBreak/>
        <w:t xml:space="preserve">письменного уведомления Покупателя направить своего уполномоченного представителя для участия в комиссии по расследованию несоответствия качества. 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lang w:val="ru-RU"/>
        </w:rPr>
        <w:t>В случае несоответствия качества кондиционеров требованиям завода-изготовителя Поставщик обязан заменить кондиционеры в сроки, оговоренные с Покупателем. Все затраты, связанные с заменой некачественных кондиционеров, несет Поставщик.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 xml:space="preserve">2.6. </w:t>
      </w:r>
      <w:r w:rsidRPr="00DA4A0F">
        <w:rPr>
          <w:rFonts w:ascii="Times New Roman" w:eastAsiaTheme="minorEastAsia" w:hAnsi="Times New Roman"/>
          <w:b/>
          <w:highlight w:val="white"/>
          <w:lang w:val="ru-RU"/>
        </w:rPr>
        <w:t>Требования по осуществлению сопутствующих работ при поставке товаров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 xml:space="preserve"> Поставщик обязан произвести инструктирование персонала Покупателя об условиях безопасной эксплуатации кондиционеров.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lang w:val="ru-RU"/>
        </w:rPr>
        <w:t>Поставщик обеспечивает стандартный монтаж кондиционеров в соответствии с гарантийными требованиями на поставленные кондиционеры.</w:t>
      </w:r>
    </w:p>
    <w:p w:rsidR="00E01A18" w:rsidRPr="00DA4A0F" w:rsidRDefault="00DA4A0F">
      <w:pPr>
        <w:spacing w:after="0"/>
        <w:ind w:firstLine="709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2.6.1. Работы по монтажу и наладке кондиционеров выполняются материалами и техническими средствами Поставщика и включаются в стоимость поставляемых кондиционеров.</w:t>
      </w:r>
    </w:p>
    <w:p w:rsidR="00E01A18" w:rsidRDefault="00DA4A0F">
      <w:pPr>
        <w:spacing w:after="0"/>
        <w:ind w:firstLine="709"/>
        <w:jc w:val="both"/>
        <w:rPr>
          <w:rFonts w:ascii="Times New Roman" w:eastAsia="Times New Roman" w:hAnsi="Times New Roman"/>
          <w:szCs w:val="28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 xml:space="preserve">2.6.2. При установке кондиционеров Поставщик должен предусмотреть длину коммуникаций (трубопровод+флекс+электрокабель+дренаж). </w:t>
      </w:r>
      <w:r>
        <w:rPr>
          <w:rFonts w:ascii="Times New Roman" w:eastAsiaTheme="minorEastAsia" w:hAnsi="Times New Roman"/>
          <w:szCs w:val="28"/>
          <w:lang w:eastAsia="ru-RU"/>
        </w:rPr>
        <w:t>В процессе монтажа кондиционеров выполняются следующие операции:</w:t>
      </w:r>
    </w:p>
    <w:p w:rsidR="00E01A18" w:rsidRPr="00DA4A0F" w:rsidRDefault="00DA4A0F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крепление внешнего и внутреннего блоков сплит-системы;</w:t>
      </w:r>
    </w:p>
    <w:p w:rsidR="00E01A18" w:rsidRDefault="00DA4A0F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Theme="minorEastAsia" w:hAnsi="Times New Roman"/>
          <w:szCs w:val="28"/>
          <w:lang w:eastAsia="ru-RU"/>
        </w:rPr>
        <w:t>пробивка отверстий в стене;</w:t>
      </w:r>
    </w:p>
    <w:p w:rsidR="00E01A18" w:rsidRPr="00DA4A0F" w:rsidRDefault="00DA4A0F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 xml:space="preserve">монтаж фреоновых трубопроводов (в </w:t>
      </w:r>
      <w:proofErr w:type="spellStart"/>
      <w:r w:rsidRPr="00DA4A0F">
        <w:rPr>
          <w:rFonts w:ascii="Times New Roman" w:eastAsiaTheme="minorEastAsia" w:hAnsi="Times New Roman"/>
          <w:szCs w:val="28"/>
          <w:lang w:val="ru-RU" w:eastAsia="ru-RU"/>
        </w:rPr>
        <w:t>т.ч</w:t>
      </w:r>
      <w:proofErr w:type="spellEnd"/>
      <w:r w:rsidRPr="00DA4A0F">
        <w:rPr>
          <w:rFonts w:ascii="Times New Roman" w:eastAsiaTheme="minorEastAsia" w:hAnsi="Times New Roman"/>
          <w:szCs w:val="28"/>
          <w:lang w:val="ru-RU" w:eastAsia="ru-RU"/>
        </w:rPr>
        <w:t>. в коробе);</w:t>
      </w:r>
    </w:p>
    <w:p w:rsidR="00E01A18" w:rsidRPr="00DA4A0F" w:rsidRDefault="00DA4A0F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 xml:space="preserve">монтаж электрического кабеля (в </w:t>
      </w:r>
      <w:proofErr w:type="spellStart"/>
      <w:r w:rsidRPr="00DA4A0F">
        <w:rPr>
          <w:rFonts w:ascii="Times New Roman" w:eastAsiaTheme="minorEastAsia" w:hAnsi="Times New Roman"/>
          <w:szCs w:val="28"/>
          <w:lang w:val="ru-RU" w:eastAsia="ru-RU"/>
        </w:rPr>
        <w:t>т.ч</w:t>
      </w:r>
      <w:proofErr w:type="spellEnd"/>
      <w:r w:rsidRPr="00DA4A0F">
        <w:rPr>
          <w:rFonts w:ascii="Times New Roman" w:eastAsiaTheme="minorEastAsia" w:hAnsi="Times New Roman"/>
          <w:szCs w:val="28"/>
          <w:lang w:val="ru-RU" w:eastAsia="ru-RU"/>
        </w:rPr>
        <w:t>. в коробе);</w:t>
      </w:r>
    </w:p>
    <w:p w:rsidR="00E01A18" w:rsidRPr="00DA4A0F" w:rsidRDefault="00DA4A0F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установка автоматов защиты, подключения к действующей электросети;</w:t>
      </w:r>
    </w:p>
    <w:p w:rsidR="00E01A18" w:rsidRDefault="00DA4A0F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Theme="minorEastAsia" w:hAnsi="Times New Roman"/>
          <w:szCs w:val="28"/>
          <w:lang w:eastAsia="ru-RU"/>
        </w:rPr>
        <w:t xml:space="preserve">дозаправка хладагентом </w:t>
      </w:r>
    </w:p>
    <w:p w:rsidR="00E01A18" w:rsidRDefault="00DA4A0F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Theme="minorEastAsia" w:hAnsi="Times New Roman"/>
          <w:szCs w:val="28"/>
          <w:lang w:eastAsia="ru-RU"/>
        </w:rPr>
        <w:t>тестовый запуск кондиционера</w:t>
      </w:r>
    </w:p>
    <w:p w:rsidR="00E01A18" w:rsidRDefault="00DA4A0F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Cs w:val="28"/>
        </w:rPr>
      </w:pPr>
      <w:proofErr w:type="gramStart"/>
      <w:r>
        <w:rPr>
          <w:rFonts w:ascii="Times New Roman" w:eastAsiaTheme="minorEastAsia" w:hAnsi="Times New Roman"/>
          <w:szCs w:val="28"/>
          <w:lang w:eastAsia="ru-RU"/>
        </w:rPr>
        <w:t>крепление</w:t>
      </w:r>
      <w:proofErr w:type="gramEnd"/>
      <w:r>
        <w:rPr>
          <w:rFonts w:ascii="Times New Roman" w:eastAsiaTheme="minorEastAsia" w:hAnsi="Times New Roman"/>
          <w:szCs w:val="28"/>
          <w:lang w:eastAsia="ru-RU"/>
        </w:rPr>
        <w:t xml:space="preserve"> блоков кондиционера. 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Внутренний блок кондиционеров должен устанавливаться в помещении с учетом функциональных требований и дизайна помещения. Крепеж осуществляется строго по уровню. Монтаж внешнего блока кондиционеров производится на достаточно прочной стене в месте, удобном для последующего сервисного обслуживания. Для его крепления используются специальные кронштейны и болты. Расположение внешнего блока кондиционера не должно нарушать архитектурный облик здания. Наружные блоки кондиционеров при настенном монтаже должны быть закреплены на кронштейнах, при монтаже на крыше –на подставках. При производстве работ с привлечением «промышленных альпинистов» согласовать допуск специалистов на кровлю здания с инженерной службой, службой охраны, а также принять меры обеспечения безопасности на прилегающих территориях.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•Пробивка отверстий. Для сверления используется перфоратор с буром 45-100мм. Отверстия сверлятся с наклоном вниз к наружной стене без разрушения фасада. Заделка отверстий и устранение повреждений строительных конструкций, возникающих при установке кондиционеров, Поставщик производит своими силами и за свой счет. Урон, нанесенный интерьеру помещения, возмещается Поставщиком. При проведении монтажных работ в отремонтированных помещениях используют пылесосы и защитные чехлы. Отходы и строительный мусор, накапливаемые в процессе установочно-монтажных работ, подлежат уборке и вывозу Поставщиком и за его счет.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•Монтаж фреоновых трубопроводов. Трубопровод укладывается в декоративный короб, или прячется за потолочное пространство с креплением к потолку. Нарезка, изгиб, очистка кромок и развальцовка труб производятся с помощью специальных инструментов (труборезов, трубогибов, шабровок и вальцовок). В некоторых случаях может потребоваться пайка. Неаккуратное использование декоративных коробов и порча интерьера помещения и фасада здания устраняется за счет Поставщика. При прохождении трассы хладагента под подшивным потолком, она должна быть закреплена и изолирована сертифицированной тепло-пароизоляцией.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lastRenderedPageBreak/>
        <w:t>•Монтаж электрических соединений, дренажного трубопровода. Внутри помещения фреоновый трубопровод, электрический кабель и дренажный шланг укладываются вместе (в коробе). Не допускать заломов и порывов дренажного шланга при протаскивании через отверстие в стене, не допускать касания его оголенных частей трубопровода. Отверстие в стене после укладки этого «пучка» заполняется теплоизолятором во избежание промерзания воды и появления сквозняков в помещении. Конденсат от оборудования должен быть выведен наружу, существующие дренажные системы или стояки канализации. Электропровод должен быть одет в гофрорукав.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•Удаление влаги и воздуха из трубопровода. Система должна быть очищена от этих компонентов, для этого трубопровод тщательно вакуумируется с использованием вакуумного насоса.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•Тестовый запуска кондиционера. После запуска работа кондиционера тестируется во всех режимах. При тестировании производятся замеры напряжения в сети, энергопотребление кондиционера, давление хладагента, температура на входе и выходе из внутреннего блока. При необходимости производится зарядка или стравливание хладагента.</w:t>
      </w:r>
    </w:p>
    <w:p w:rsidR="00DA4A0F" w:rsidRDefault="00DA4A0F">
      <w:pPr>
        <w:spacing w:after="0"/>
        <w:jc w:val="both"/>
        <w:rPr>
          <w:rFonts w:ascii="Times New Roman" w:eastAsiaTheme="minorEastAsia" w:hAnsi="Times New Roman"/>
          <w:b/>
          <w:szCs w:val="28"/>
          <w:lang w:val="ru-RU" w:eastAsia="ru-RU"/>
        </w:rPr>
      </w:pP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3. ТРЕБОВАНИЯ К ВЫПОЛНЕНИЮ ПОСТАВКИ ТОВАРОВ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3.1. Требования к отгрузке и доставке приобретаемых товаров.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Погрузка товара, его доставка до склада Покупателя и разгрузка на складе Покупателя должна осуществляться силами Поставщика. Затраты на погрузочные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E01A18" w:rsidRPr="00DA4A0F" w:rsidRDefault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Поставка закупаемого товара должна быть осуществлена до офиса покупателя, находящихся по адресу: г. Томск, ул. Котовского, д. 19 в рабочие дни с 8. 00ч.до 12.00ч. и с 13.00ч. до 17.00ч.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3.2. Требования к таре и упаковке приобретаемых товаров</w:t>
      </w:r>
    </w:p>
    <w:p w:rsidR="00E01A18" w:rsidRPr="00DA4A0F" w:rsidRDefault="00DA4A0F" w:rsidP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Поставляемые кондиционеры должны отгружаться в упаковке (или таре) завода-изготовителя. Тара и упаковка, должны обеспечивать полную сохранность кондиционеров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:rsidR="00E01A18" w:rsidRPr="00094207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094207">
        <w:rPr>
          <w:rFonts w:ascii="Times New Roman" w:eastAsiaTheme="minorEastAsia" w:hAnsi="Times New Roman"/>
          <w:b/>
          <w:szCs w:val="28"/>
          <w:lang w:val="ru-RU" w:eastAsia="ru-RU"/>
        </w:rPr>
        <w:t>3.3. Требования к приемке товаров</w:t>
      </w:r>
    </w:p>
    <w:p w:rsidR="00E01A18" w:rsidRPr="00DA4A0F" w:rsidRDefault="00DA4A0F" w:rsidP="00DA4A0F">
      <w:pPr>
        <w:spacing w:after="0"/>
        <w:ind w:firstLine="708"/>
        <w:jc w:val="both"/>
        <w:rPr>
          <w:rFonts w:ascii="Times New Roman" w:eastAsia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 w:eastAsia="ru-RU"/>
        </w:rPr>
        <w:t>Поставщик должен обеспечить присутствие своего уполномоченного представителя при проведении приемки поставляемых кондиционеров на складе Покупателя в соответствии с инструкциями от 15.06.1965 №П-6 и от 25.04.1966 №П-7 в течение одного рабочего дня с момента поставки.</w:t>
      </w:r>
    </w:p>
    <w:p w:rsidR="00E01A18" w:rsidRPr="00DA4A0F" w:rsidRDefault="00DA4A0F" w:rsidP="00DA4A0F">
      <w:pPr>
        <w:spacing w:after="0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eastAsiaTheme="minorEastAsia" w:hAnsi="Times New Roman"/>
          <w:lang w:val="ru-RU"/>
        </w:rPr>
        <w:t>Кондиционеры должны быть поставлены вместе с комплектом товаросопроводительной документацией.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E01A18" w:rsidRPr="00DA4A0F" w:rsidRDefault="00DA4A0F" w:rsidP="00DA4A0F">
      <w:pPr>
        <w:spacing w:after="0"/>
        <w:ind w:firstLine="708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lang w:val="ru-RU"/>
        </w:rPr>
        <w:t>С кондиционерами поставляются в полном объеме технические условия, паспорта и иная необходимая для установки, эксплуатации и ремонта документация на русском языке.</w:t>
      </w:r>
    </w:p>
    <w:p w:rsidR="00E01A18" w:rsidRPr="00DA4A0F" w:rsidRDefault="00DA4A0F">
      <w:pPr>
        <w:spacing w:after="0"/>
        <w:ind w:firstLine="709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HAnsi" w:hAnsi="Times New Roman"/>
          <w:iCs/>
          <w:lang w:val="ru-RU"/>
        </w:rPr>
        <w:t>Техническая документация, прилагаемая к поставляемым кондиционерам, должна включать в себя, но не ограничиваться:</w:t>
      </w:r>
    </w:p>
    <w:p w:rsidR="00E01A18" w:rsidRDefault="00DA4A0F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Theme="minorHAnsi" w:hAnsi="Times New Roman"/>
          <w:bCs/>
        </w:rPr>
        <w:t>Паспорт оборудования;</w:t>
      </w:r>
    </w:p>
    <w:p w:rsidR="00E01A18" w:rsidRDefault="00DA4A0F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Theme="minorHAnsi" w:hAnsi="Times New Roman"/>
          <w:bCs/>
        </w:rPr>
        <w:t>Руководство по эксплуатации;</w:t>
      </w:r>
    </w:p>
    <w:p w:rsidR="00E01A18" w:rsidRPr="00DA4A0F" w:rsidRDefault="00DA4A0F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HAnsi" w:hAnsi="Times New Roman"/>
          <w:bCs/>
          <w:lang w:val="ru-RU"/>
        </w:rPr>
        <w:t xml:space="preserve">Сертификат и/или декларация соответствия требованиям «Технического Регламента Таможенного союза ТР ТС 004/2011» применительно для данного вида изделий. </w:t>
      </w:r>
    </w:p>
    <w:p w:rsidR="00DA4A0F" w:rsidRDefault="00DA4A0F">
      <w:pPr>
        <w:spacing w:after="0"/>
        <w:jc w:val="both"/>
        <w:rPr>
          <w:rFonts w:ascii="Times New Roman" w:eastAsiaTheme="minorHAnsi" w:hAnsi="Times New Roman"/>
          <w:b/>
          <w:szCs w:val="28"/>
          <w:lang w:val="ru-RU" w:eastAsia="ru-RU"/>
        </w:rPr>
      </w:pPr>
    </w:p>
    <w:p w:rsidR="00DA4A0F" w:rsidRDefault="00DA4A0F">
      <w:pPr>
        <w:spacing w:after="0"/>
        <w:jc w:val="both"/>
        <w:rPr>
          <w:rFonts w:ascii="Times New Roman" w:eastAsiaTheme="minorHAnsi" w:hAnsi="Times New Roman"/>
          <w:b/>
          <w:szCs w:val="28"/>
          <w:lang w:val="ru-RU" w:eastAsia="ru-RU"/>
        </w:rPr>
      </w:pP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HAnsi" w:hAnsi="Times New Roman"/>
          <w:b/>
          <w:szCs w:val="28"/>
          <w:lang w:val="ru-RU" w:eastAsia="ru-RU"/>
        </w:rPr>
        <w:lastRenderedPageBreak/>
        <w:t>3.5. Прочие требования к поставке товаров</w:t>
      </w:r>
    </w:p>
    <w:p w:rsidR="00E01A18" w:rsidRPr="00DA4A0F" w:rsidRDefault="00DA4A0F">
      <w:pPr>
        <w:pStyle w:val="af5"/>
        <w:spacing w:after="0"/>
        <w:ind w:left="0" w:firstLine="709"/>
        <w:jc w:val="both"/>
        <w:rPr>
          <w:rFonts w:ascii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bCs/>
          <w:color w:val="000000"/>
          <w:lang w:val="ru-RU" w:eastAsia="ru-RU"/>
        </w:rPr>
        <w:t>В техническом предложении</w:t>
      </w:r>
      <w:r w:rsidRPr="00DA4A0F">
        <w:rPr>
          <w:rFonts w:ascii="Times New Roman" w:eastAsiaTheme="minorEastAsia" w:hAnsi="Times New Roman"/>
          <w:color w:val="000000"/>
          <w:lang w:val="ru-RU" w:eastAsia="ru-RU"/>
        </w:rPr>
        <w:t xml:space="preserve"> участник закупки должен </w:t>
      </w:r>
      <w:r w:rsidRPr="00DA4A0F">
        <w:rPr>
          <w:rFonts w:ascii="Times New Roman" w:eastAsiaTheme="minorEastAsia" w:hAnsi="Times New Roman"/>
          <w:lang w:val="ru-RU" w:eastAsia="ru-RU"/>
        </w:rPr>
        <w:t>подтвердить, что поставляемые кондиционеры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</w:t>
      </w:r>
    </w:p>
    <w:p w:rsidR="00E01A18" w:rsidRPr="00DA4A0F" w:rsidRDefault="00E01A18">
      <w:pPr>
        <w:pStyle w:val="af5"/>
        <w:spacing w:after="0"/>
        <w:ind w:left="0" w:firstLine="709"/>
        <w:jc w:val="both"/>
        <w:rPr>
          <w:rFonts w:ascii="Times New Roman" w:eastAsia="Times New Roman" w:hAnsi="Times New Roman"/>
          <w:lang w:val="ru-RU"/>
        </w:rPr>
      </w:pP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 xml:space="preserve">4. </w:t>
      </w:r>
      <w:r w:rsidRPr="00DA4A0F">
        <w:rPr>
          <w:rFonts w:ascii="Times New Roman" w:eastAsiaTheme="minorEastAsia" w:hAnsi="Times New Roman"/>
          <w:b/>
          <w:szCs w:val="26"/>
          <w:lang w:val="ru-RU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.</w:t>
      </w:r>
    </w:p>
    <w:p w:rsidR="00E01A18" w:rsidRPr="00DA4A0F" w:rsidRDefault="00DA4A0F">
      <w:pPr>
        <w:pStyle w:val="af5"/>
        <w:spacing w:after="0"/>
        <w:ind w:left="0" w:firstLine="709"/>
        <w:jc w:val="both"/>
        <w:rPr>
          <w:rFonts w:ascii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E01A18" w:rsidRPr="00DA4A0F" w:rsidRDefault="00DA4A0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Cs w:val="26"/>
          <w:lang w:val="ru-RU"/>
        </w:rPr>
      </w:pPr>
      <w:r w:rsidRPr="00DA4A0F">
        <w:rPr>
          <w:rFonts w:ascii="Times New Roman" w:eastAsiaTheme="minorHAnsi" w:hAnsi="Times New Roman"/>
          <w:color w:val="000000"/>
          <w:szCs w:val="26"/>
          <w:lang w:val="ru-RU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поставляемого товара Покупателем на основании выставленного счета и товарной накладной унифицированной</w:t>
      </w:r>
      <w:r w:rsidRPr="00DA4A0F">
        <w:rPr>
          <w:rFonts w:ascii="Times New Roman" w:eastAsiaTheme="minorHAnsi" w:hAnsi="Times New Roman"/>
          <w:szCs w:val="26"/>
          <w:lang w:val="ru-RU"/>
        </w:rPr>
        <w:t xml:space="preserve">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:rsidR="00E01A18" w:rsidRPr="00DA4A0F" w:rsidRDefault="00DA4A0F">
      <w:pPr>
        <w:tabs>
          <w:tab w:val="left" w:pos="90"/>
        </w:tabs>
        <w:spacing w:after="0"/>
        <w:ind w:firstLine="709"/>
        <w:jc w:val="both"/>
        <w:rPr>
          <w:rFonts w:ascii="Times New Roman" w:eastAsia="Times New Roman" w:hAnsi="Times New Roman"/>
          <w:szCs w:val="26"/>
          <w:lang w:val="ru-RU"/>
        </w:rPr>
      </w:pPr>
      <w:r w:rsidRPr="00DA4A0F">
        <w:rPr>
          <w:rFonts w:ascii="Times New Roman" w:eastAsiaTheme="minorHAnsi" w:hAnsi="Times New Roman"/>
          <w:szCs w:val="26"/>
          <w:lang w:val="ru-RU"/>
        </w:rPr>
        <w:t>• Счета(ов)-фактуры;</w:t>
      </w:r>
    </w:p>
    <w:p w:rsidR="00E01A18" w:rsidRPr="00DA4A0F" w:rsidRDefault="00DA4A0F">
      <w:pPr>
        <w:tabs>
          <w:tab w:val="left" w:pos="90"/>
        </w:tabs>
        <w:spacing w:after="0"/>
        <w:ind w:firstLine="709"/>
        <w:jc w:val="both"/>
        <w:rPr>
          <w:rFonts w:ascii="Times New Roman" w:eastAsia="Times New Roman" w:hAnsi="Times New Roman"/>
          <w:szCs w:val="26"/>
          <w:lang w:val="ru-RU"/>
        </w:rPr>
      </w:pPr>
      <w:r w:rsidRPr="00DA4A0F">
        <w:rPr>
          <w:rFonts w:ascii="Times New Roman" w:eastAsiaTheme="minorHAnsi" w:hAnsi="Times New Roman"/>
          <w:szCs w:val="26"/>
          <w:lang w:val="ru-RU"/>
        </w:rPr>
        <w:t>• Счета(ов);</w:t>
      </w:r>
    </w:p>
    <w:p w:rsidR="00E01A18" w:rsidRPr="00DA4A0F" w:rsidRDefault="00DA4A0F">
      <w:pPr>
        <w:tabs>
          <w:tab w:val="left" w:pos="90"/>
        </w:tabs>
        <w:spacing w:after="0"/>
        <w:ind w:firstLine="709"/>
        <w:jc w:val="both"/>
        <w:rPr>
          <w:rFonts w:ascii="Times New Roman" w:eastAsia="Times New Roman" w:hAnsi="Times New Roman"/>
          <w:szCs w:val="26"/>
          <w:lang w:val="ru-RU"/>
        </w:rPr>
      </w:pPr>
      <w:r w:rsidRPr="00DA4A0F">
        <w:rPr>
          <w:rFonts w:ascii="Times New Roman" w:eastAsiaTheme="minorHAnsi" w:hAnsi="Times New Roman"/>
          <w:szCs w:val="26"/>
          <w:lang w:val="ru-RU"/>
        </w:rPr>
        <w:t xml:space="preserve">• Товарной(ых) накладной(ых) </w:t>
      </w:r>
      <w:r w:rsidRPr="00DA4A0F">
        <w:rPr>
          <w:rFonts w:ascii="Times New Roman" w:eastAsiaTheme="minorHAnsi" w:hAnsi="Times New Roman"/>
          <w:color w:val="000000"/>
          <w:szCs w:val="26"/>
          <w:lang w:val="ru-RU"/>
        </w:rPr>
        <w:t>унифицированной</w:t>
      </w:r>
      <w:r w:rsidRPr="00DA4A0F">
        <w:rPr>
          <w:rFonts w:ascii="Times New Roman" w:eastAsiaTheme="minorHAnsi" w:hAnsi="Times New Roman"/>
          <w:szCs w:val="26"/>
          <w:lang w:val="ru-RU"/>
        </w:rPr>
        <w:t xml:space="preserve"> формы ТОРГ-12 или УПД.</w:t>
      </w:r>
      <w:r w:rsidRPr="00DA4A0F">
        <w:rPr>
          <w:rFonts w:ascii="Times New Roman" w:eastAsiaTheme="minorEastAsia" w:hAnsi="Times New Roman"/>
          <w:szCs w:val="28"/>
          <w:lang w:val="ru-RU"/>
        </w:rPr>
        <w:t xml:space="preserve">       </w:t>
      </w:r>
    </w:p>
    <w:p w:rsidR="00E01A18" w:rsidRPr="00DA4A0F" w:rsidRDefault="00DA4A0F">
      <w:pPr>
        <w:pStyle w:val="af5"/>
        <w:spacing w:after="0"/>
        <w:ind w:left="0" w:firstLine="709"/>
        <w:jc w:val="both"/>
        <w:rPr>
          <w:rFonts w:ascii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/>
        </w:rPr>
        <w:t xml:space="preserve">Цены на Товар должны быть зафиксированы на период действия договора. </w:t>
      </w:r>
    </w:p>
    <w:p w:rsidR="00E01A18" w:rsidRPr="00DA4A0F" w:rsidRDefault="00DA4A0F">
      <w:pPr>
        <w:pStyle w:val="af5"/>
        <w:spacing w:after="0"/>
        <w:ind w:left="0" w:firstLine="709"/>
        <w:jc w:val="both"/>
        <w:rPr>
          <w:rFonts w:ascii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szCs w:val="26"/>
          <w:lang w:val="ru-RU" w:eastAsia="ru-RU"/>
        </w:rPr>
        <w:t>Установлено требование о предоставлении обеспечения исполнения договора, условия которого указаны по тексту проекта договора</w:t>
      </w:r>
    </w:p>
    <w:p w:rsidR="00E01A18" w:rsidRPr="00DA4A0F" w:rsidRDefault="00DA4A0F">
      <w:pPr>
        <w:pStyle w:val="af5"/>
        <w:spacing w:after="0"/>
        <w:ind w:left="0" w:firstLine="709"/>
        <w:jc w:val="both"/>
        <w:rPr>
          <w:rFonts w:ascii="Times New Roman" w:hAnsi="Times New Roman"/>
          <w:szCs w:val="28"/>
          <w:lang w:val="ru-RU"/>
        </w:rPr>
      </w:pPr>
      <w:r w:rsidRPr="00DA4A0F">
        <w:rPr>
          <w:rFonts w:ascii="Times New Roman" w:eastAsiaTheme="minorEastAsia" w:hAnsi="Times New Roman"/>
          <w:szCs w:val="28"/>
          <w:lang w:val="ru-RU"/>
        </w:rPr>
        <w:t>Полная информация по данным требованиям указана в проекте договора, являющемся приложением к закупочной документации.</w:t>
      </w:r>
    </w:p>
    <w:p w:rsidR="00E01A18" w:rsidRPr="00DA4A0F" w:rsidRDefault="00E01A18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 w:eastAsia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 xml:space="preserve">5. ТРЕБОВАНИЯ К УЧАСТНИКАМ ЗАКУПКИ </w:t>
      </w:r>
    </w:p>
    <w:p w:rsidR="00E01A18" w:rsidRPr="00DA4A0F" w:rsidRDefault="00DA4A0F" w:rsidP="00DA4A0F">
      <w:pPr>
        <w:pStyle w:val="af5"/>
        <w:spacing w:after="0"/>
        <w:ind w:left="0" w:firstLine="708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lang w:val="ru-RU"/>
        </w:rPr>
        <w:t>Закупка осуществляется только у субъектов малого и среднего предпринимательства.</w:t>
      </w: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b/>
          <w:lang w:val="ru-RU"/>
        </w:rPr>
        <w:t>5.1.</w:t>
      </w:r>
      <w:r w:rsidRPr="00DA4A0F">
        <w:rPr>
          <w:rFonts w:ascii="Times New Roman" w:eastAsiaTheme="minorEastAsia" w:hAnsi="Times New Roman"/>
          <w:b/>
          <w:lang w:val="ru-RU"/>
        </w:rPr>
        <w:tab/>
        <w:t>Требования о наличии аккредитации в Группе «Интер РАО»</w:t>
      </w:r>
    </w:p>
    <w:p w:rsidR="00E01A18" w:rsidRPr="00DA4A0F" w:rsidRDefault="00DA4A0F" w:rsidP="00DA4A0F">
      <w:pPr>
        <w:spacing w:after="0"/>
        <w:ind w:firstLine="708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szCs w:val="26"/>
          <w:lang w:val="ru-RU"/>
        </w:rPr>
        <w:t>В случае если Участники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предоставляет копию действующего Свидетельства об аккредитации в Группе «Интер РАО</w:t>
      </w:r>
    </w:p>
    <w:p w:rsidR="00E01A18" w:rsidRPr="00DA4A0F" w:rsidRDefault="00DA4A0F">
      <w:pPr>
        <w:pStyle w:val="af5"/>
        <w:numPr>
          <w:ilvl w:val="1"/>
          <w:numId w:val="13"/>
        </w:numPr>
        <w:spacing w:after="0"/>
        <w:ind w:left="0" w:firstLine="0"/>
        <w:jc w:val="both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b/>
          <w:lang w:val="ru-RU" w:eastAsia="ru-RU"/>
        </w:rPr>
        <w:t xml:space="preserve">Требования о наличии сертифицированных систем менеджмента </w:t>
      </w:r>
    </w:p>
    <w:p w:rsidR="00E01A18" w:rsidRPr="00094207" w:rsidRDefault="00DA4A0F">
      <w:pPr>
        <w:spacing w:after="0"/>
        <w:ind w:firstLine="709"/>
        <w:jc w:val="both"/>
        <w:rPr>
          <w:rFonts w:ascii="Times New Roman" w:eastAsia="Times New Roman" w:hAnsi="Times New Roman"/>
          <w:lang w:val="ru-RU"/>
        </w:rPr>
      </w:pPr>
      <w:r>
        <w:rPr>
          <w:rFonts w:ascii="Times New Roman" w:eastAsiaTheme="minorEastAsia" w:hAnsi="Times New Roman"/>
          <w:lang w:val="ru-RU"/>
        </w:rPr>
        <w:t>Н</w:t>
      </w:r>
      <w:r>
        <w:rPr>
          <w:rFonts w:ascii="Times New Roman" w:eastAsiaTheme="minorEastAsia" w:hAnsi="Times New Roman"/>
        </w:rPr>
        <w:t>е требуется</w:t>
      </w:r>
      <w:r w:rsidR="00094207">
        <w:rPr>
          <w:rFonts w:ascii="Times New Roman" w:eastAsiaTheme="minorEastAsia" w:hAnsi="Times New Roman"/>
          <w:lang w:val="ru-RU"/>
        </w:rPr>
        <w:t>.</w:t>
      </w:r>
    </w:p>
    <w:p w:rsidR="00E01A18" w:rsidRDefault="00DA4A0F">
      <w:pPr>
        <w:pStyle w:val="af5"/>
        <w:numPr>
          <w:ilvl w:val="1"/>
          <w:numId w:val="13"/>
        </w:numPr>
        <w:spacing w:after="0"/>
        <w:ind w:left="0" w:firstLine="0"/>
        <w:jc w:val="both"/>
        <w:rPr>
          <w:rFonts w:ascii="Times New Roman" w:eastAsia="Times New Roman" w:hAnsi="Times New Roman"/>
        </w:rPr>
      </w:pPr>
      <w:r>
        <w:rPr>
          <w:rFonts w:ascii="Times New Roman" w:eastAsiaTheme="minorEastAsia" w:hAnsi="Times New Roman"/>
          <w:b/>
        </w:rPr>
        <w:t>Требования к опыту поставки  товаров</w:t>
      </w:r>
    </w:p>
    <w:p w:rsidR="00E01A18" w:rsidRPr="00094207" w:rsidRDefault="00DA4A0F">
      <w:pPr>
        <w:pStyle w:val="af5"/>
        <w:spacing w:after="0"/>
        <w:ind w:left="0" w:firstLine="709"/>
        <w:jc w:val="both"/>
        <w:rPr>
          <w:rFonts w:ascii="Times New Roman" w:eastAsia="Times New Roman" w:hAnsi="Times New Roman"/>
          <w:lang w:val="ru-RU"/>
        </w:rPr>
      </w:pPr>
      <w:r>
        <w:rPr>
          <w:rFonts w:ascii="Times New Roman" w:eastAsiaTheme="minorEastAsia" w:hAnsi="Times New Roman"/>
        </w:rPr>
        <w:t>Не требуется</w:t>
      </w:r>
      <w:r w:rsidR="00094207">
        <w:rPr>
          <w:rFonts w:ascii="Times New Roman" w:eastAsiaTheme="minorEastAsia" w:hAnsi="Times New Roman"/>
          <w:lang w:val="ru-RU"/>
        </w:rPr>
        <w:t>.</w:t>
      </w:r>
      <w:bookmarkStart w:id="0" w:name="_GoBack"/>
      <w:bookmarkEnd w:id="0"/>
    </w:p>
    <w:p w:rsidR="00E01A18" w:rsidRPr="00DA4A0F" w:rsidRDefault="00DA4A0F">
      <w:pPr>
        <w:pStyle w:val="af5"/>
        <w:numPr>
          <w:ilvl w:val="1"/>
          <w:numId w:val="13"/>
        </w:numPr>
        <w:spacing w:after="0"/>
        <w:ind w:left="0" w:firstLine="0"/>
        <w:rPr>
          <w:rFonts w:ascii="Times New Roman" w:eastAsia="Times New Roman" w:hAnsi="Times New Roman"/>
          <w:lang w:val="ru-RU"/>
        </w:rPr>
      </w:pPr>
      <w:r w:rsidRPr="00DA4A0F">
        <w:rPr>
          <w:rFonts w:ascii="Times New Roman" w:eastAsiaTheme="minorEastAsia" w:hAnsi="Times New Roman"/>
          <w:b/>
          <w:lang w:val="ru-RU"/>
        </w:rPr>
        <w:t>Требования о предоставлении информации о производителе и о подтверждении отношений с ним</w:t>
      </w:r>
    </w:p>
    <w:p w:rsidR="00E01A18" w:rsidRPr="00DA4A0F" w:rsidRDefault="00DA4A0F">
      <w:pPr>
        <w:pStyle w:val="af5"/>
        <w:spacing w:after="0"/>
        <w:ind w:left="0" w:firstLine="709"/>
        <w:rPr>
          <w:rFonts w:ascii="Times New Roman" w:eastAsia="Times New Roman" w:hAnsi="Times New Roman"/>
          <w:lang w:val="ru-RU"/>
        </w:rPr>
      </w:pPr>
      <w:r>
        <w:rPr>
          <w:rFonts w:ascii="Times New Roman" w:eastAsiaTheme="minorEastAsia" w:hAnsi="Times New Roman"/>
          <w:szCs w:val="26"/>
          <w:lang w:val="ru-RU"/>
        </w:rPr>
        <w:t>Уч</w:t>
      </w:r>
      <w:r w:rsidRPr="00DA4A0F">
        <w:rPr>
          <w:rFonts w:ascii="Times New Roman" w:eastAsiaTheme="minorEastAsia" w:hAnsi="Times New Roman"/>
          <w:szCs w:val="26"/>
          <w:lang w:val="ru-RU"/>
        </w:rPr>
        <w:t>астник закупки в своем предложении указывает наименование производителя и страну происхождения предлагаемой к поставке продукции</w:t>
      </w:r>
    </w:p>
    <w:p w:rsidR="00DA4A0F" w:rsidRDefault="00DA4A0F">
      <w:pPr>
        <w:spacing w:after="0"/>
        <w:jc w:val="both"/>
        <w:rPr>
          <w:rFonts w:ascii="Times New Roman" w:eastAsiaTheme="minorEastAsia" w:hAnsi="Times New Roman"/>
          <w:b/>
          <w:szCs w:val="28"/>
          <w:lang w:val="ru-RU" w:eastAsia="ru-RU"/>
        </w:rPr>
      </w:pPr>
    </w:p>
    <w:p w:rsidR="00E01A18" w:rsidRPr="00DA4A0F" w:rsidRDefault="00DA4A0F">
      <w:pPr>
        <w:spacing w:after="0"/>
        <w:jc w:val="both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6. ПРИЛОЖЕНИЯ К ТЗ</w:t>
      </w:r>
    </w:p>
    <w:p w:rsidR="00E01A18" w:rsidRPr="00DA4A0F" w:rsidRDefault="00DA4A0F">
      <w:pPr>
        <w:spacing w:after="0"/>
        <w:ind w:firstLine="709"/>
        <w:rPr>
          <w:rFonts w:ascii="Times New Roman" w:eastAsia="Times New Roman" w:hAnsi="Times New Roman"/>
          <w:iCs/>
          <w:szCs w:val="28"/>
          <w:lang w:val="ru-RU"/>
        </w:rPr>
      </w:pPr>
      <w:r>
        <w:rPr>
          <w:rFonts w:ascii="Times New Roman" w:eastAsiaTheme="minorEastAsia" w:hAnsi="Times New Roman"/>
          <w:iCs/>
          <w:szCs w:val="28"/>
          <w:lang w:val="ru-RU" w:eastAsia="ru-RU"/>
        </w:rPr>
        <w:t>Спецификация</w:t>
      </w:r>
      <w:r w:rsidRPr="00DA4A0F">
        <w:rPr>
          <w:rFonts w:ascii="Times New Roman" w:eastAsiaTheme="minorEastAsia" w:hAnsi="Times New Roman"/>
          <w:iCs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/>
          <w:iCs/>
          <w:szCs w:val="28"/>
          <w:lang w:val="ru-RU" w:eastAsia="ru-RU"/>
        </w:rPr>
        <w:t>– представлена отдельным файлом «Приложение №1 к ТЗ.</w:t>
      </w:r>
      <w:proofErr w:type="spellStart"/>
      <w:r>
        <w:rPr>
          <w:rFonts w:ascii="Times New Roman" w:eastAsiaTheme="minorEastAsia" w:hAnsi="Times New Roman"/>
          <w:iCs/>
          <w:szCs w:val="28"/>
          <w:lang w:eastAsia="ru-RU"/>
        </w:rPr>
        <w:t>xlsx</w:t>
      </w:r>
      <w:proofErr w:type="spellEnd"/>
      <w:r>
        <w:rPr>
          <w:rFonts w:ascii="Times New Roman" w:eastAsiaTheme="minorEastAsia" w:hAnsi="Times New Roman"/>
          <w:iCs/>
          <w:szCs w:val="28"/>
          <w:lang w:val="ru-RU" w:eastAsia="ru-RU"/>
        </w:rPr>
        <w:t>».</w:t>
      </w:r>
    </w:p>
    <w:p w:rsidR="00E01A18" w:rsidRPr="00DA4A0F" w:rsidRDefault="00E01A18">
      <w:pPr>
        <w:spacing w:after="0"/>
        <w:rPr>
          <w:rFonts w:ascii="Times New Roman" w:eastAsia="Times New Roman" w:hAnsi="Times New Roman"/>
          <w:b/>
          <w:szCs w:val="28"/>
          <w:lang w:val="ru-RU" w:eastAsia="ru-RU"/>
        </w:rPr>
      </w:pPr>
    </w:p>
    <w:p w:rsidR="00E01A18" w:rsidRPr="00DA4A0F" w:rsidRDefault="00DA4A0F">
      <w:pPr>
        <w:spacing w:after="0"/>
        <w:ind w:firstLine="720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/>
          <w:szCs w:val="28"/>
          <w:lang w:val="ru-RU" w:eastAsia="ru-RU"/>
        </w:rPr>
        <w:t>Согласовано</w:t>
      </w:r>
    </w:p>
    <w:p w:rsidR="00E01A18" w:rsidRPr="00DA4A0F" w:rsidRDefault="00DA4A0F">
      <w:pPr>
        <w:spacing w:after="0"/>
        <w:ind w:firstLine="720"/>
        <w:rPr>
          <w:rFonts w:ascii="Times New Roman" w:eastAsia="Times New Roman" w:hAnsi="Times New Roman"/>
          <w:b/>
          <w:szCs w:val="28"/>
          <w:lang w:val="ru-RU"/>
        </w:rPr>
      </w:pPr>
      <w:r w:rsidRPr="00DA4A0F">
        <w:rPr>
          <w:rFonts w:ascii="Times New Roman" w:eastAsiaTheme="minorEastAsia" w:hAnsi="Times New Roman"/>
          <w:bCs/>
          <w:color w:val="000000"/>
          <w:szCs w:val="28"/>
          <w:lang w:val="ru-RU" w:eastAsia="ar-SA"/>
        </w:rPr>
        <w:t>Начальник ОС и АХО</w:t>
      </w:r>
      <w:r w:rsidRPr="00DA4A0F">
        <w:rPr>
          <w:rFonts w:ascii="Times New Roman" w:eastAsiaTheme="minorEastAsia" w:hAnsi="Times New Roman"/>
          <w:bCs/>
          <w:color w:val="000000"/>
          <w:szCs w:val="28"/>
          <w:lang w:val="ru-RU" w:eastAsia="ar-SA"/>
        </w:rPr>
        <w:tab/>
        <w:t>________________</w:t>
      </w:r>
      <w:r w:rsidRPr="00DA4A0F">
        <w:rPr>
          <w:rFonts w:ascii="Times New Roman" w:eastAsiaTheme="minorEastAsia" w:hAnsi="Times New Roman"/>
          <w:bCs/>
          <w:color w:val="000000"/>
          <w:szCs w:val="28"/>
          <w:lang w:val="ru-RU" w:eastAsia="ar-SA"/>
        </w:rPr>
        <w:tab/>
      </w:r>
      <w:r w:rsidRPr="00DA4A0F">
        <w:rPr>
          <w:rFonts w:ascii="Times New Roman" w:eastAsiaTheme="minorEastAsia" w:hAnsi="Times New Roman"/>
          <w:bCs/>
          <w:color w:val="000000"/>
          <w:szCs w:val="28"/>
          <w:lang w:val="ru-RU" w:eastAsia="ar-SA"/>
        </w:rPr>
        <w:tab/>
        <w:t xml:space="preserve">Отто А.А. </w:t>
      </w:r>
    </w:p>
    <w:p w:rsidR="00E01A18" w:rsidRPr="00DA4A0F" w:rsidRDefault="00E01A18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pacing w:after="0" w:line="230" w:lineRule="exact"/>
        <w:ind w:left="22" w:firstLine="720"/>
        <w:jc w:val="both"/>
        <w:rPr>
          <w:rFonts w:ascii="Times New Roman" w:eastAsia="Sylfaen" w:hAnsi="Times New Roman"/>
          <w:bCs/>
          <w:color w:val="000000"/>
          <w:szCs w:val="28"/>
          <w:lang w:val="ru-RU"/>
        </w:rPr>
      </w:pPr>
    </w:p>
    <w:p w:rsidR="00E01A18" w:rsidRPr="00DA4A0F" w:rsidRDefault="00DA4A0F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pacing w:after="0" w:line="230" w:lineRule="exact"/>
        <w:ind w:left="22" w:firstLine="720"/>
        <w:jc w:val="both"/>
        <w:rPr>
          <w:rFonts w:ascii="Times New Roman" w:eastAsia="Sylfaen" w:hAnsi="Times New Roman"/>
          <w:bCs/>
          <w:color w:val="000000"/>
          <w:szCs w:val="28"/>
          <w:lang w:val="ru-RU"/>
        </w:rPr>
      </w:pPr>
      <w:r w:rsidRPr="00DA4A0F">
        <w:rPr>
          <w:rFonts w:ascii="Times New Roman" w:eastAsiaTheme="minorEastAsia" w:hAnsi="Times New Roman"/>
          <w:bCs/>
          <w:color w:val="000000"/>
          <w:szCs w:val="28"/>
          <w:lang w:val="ru-RU" w:eastAsia="ar-SA"/>
        </w:rPr>
        <w:t>Ответственный исполнитель:</w:t>
      </w:r>
      <w:r w:rsidRPr="00DA4A0F">
        <w:rPr>
          <w:rFonts w:ascii="Times New Roman" w:eastAsiaTheme="minorEastAsia" w:hAnsi="Times New Roman"/>
          <w:bCs/>
          <w:color w:val="000000"/>
          <w:szCs w:val="28"/>
          <w:lang w:val="ru-RU" w:eastAsia="ar-SA"/>
        </w:rPr>
        <w:tab/>
      </w:r>
    </w:p>
    <w:p w:rsidR="00E01A18" w:rsidRPr="00DA4A0F" w:rsidRDefault="00DA4A0F" w:rsidP="00DA4A0F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pacing w:after="0" w:line="230" w:lineRule="exact"/>
        <w:ind w:left="22" w:firstLine="720"/>
        <w:jc w:val="both"/>
        <w:rPr>
          <w:lang w:val="ru-RU"/>
        </w:rPr>
      </w:pPr>
      <w:r w:rsidRPr="00DA4A0F">
        <w:rPr>
          <w:rFonts w:ascii="Times New Roman" w:eastAsiaTheme="minorEastAsia" w:hAnsi="Times New Roman"/>
          <w:bCs/>
          <w:color w:val="000000"/>
          <w:szCs w:val="28"/>
          <w:lang w:val="ru-RU" w:eastAsia="ar-SA"/>
        </w:rPr>
        <w:t xml:space="preserve">Вед. Специалист ОС и АХО   </w:t>
      </w:r>
      <w:r w:rsidRPr="00DA4A0F">
        <w:rPr>
          <w:rFonts w:ascii="Times New Roman" w:eastAsiaTheme="minorEastAsia" w:hAnsi="Times New Roman"/>
          <w:bCs/>
          <w:color w:val="000000"/>
          <w:szCs w:val="28"/>
          <w:u w:val="single"/>
          <w:lang w:val="ru-RU" w:eastAsia="ar-SA"/>
        </w:rPr>
        <w:t xml:space="preserve">                               </w:t>
      </w:r>
      <w:r w:rsidRPr="00DA4A0F">
        <w:rPr>
          <w:rFonts w:ascii="Times New Roman" w:eastAsiaTheme="minorEastAsia" w:hAnsi="Times New Roman"/>
          <w:bCs/>
          <w:color w:val="000000"/>
          <w:szCs w:val="28"/>
          <w:lang w:val="ru-RU" w:eastAsia="ar-SA"/>
        </w:rPr>
        <w:t xml:space="preserve">            Мадаева Е.М.</w:t>
      </w:r>
    </w:p>
    <w:sectPr w:rsidR="00E01A18" w:rsidRPr="00DA4A0F" w:rsidSect="00DA4A0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A18" w:rsidRDefault="00DA4A0F">
      <w:pPr>
        <w:spacing w:after="0"/>
      </w:pPr>
      <w:r>
        <w:separator/>
      </w:r>
    </w:p>
  </w:endnote>
  <w:endnote w:type="continuationSeparator" w:id="0">
    <w:p w:rsidR="00E01A18" w:rsidRDefault="00DA4A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A18" w:rsidRDefault="00DA4A0F">
      <w:pPr>
        <w:spacing w:after="0"/>
      </w:pPr>
      <w:r>
        <w:separator/>
      </w:r>
    </w:p>
  </w:footnote>
  <w:footnote w:type="continuationSeparator" w:id="0">
    <w:p w:rsidR="00E01A18" w:rsidRDefault="00DA4A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63935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A4A0F" w:rsidRPr="00DA4A0F" w:rsidRDefault="00DA4A0F" w:rsidP="00DA4A0F">
        <w:pPr>
          <w:pStyle w:val="af9"/>
          <w:jc w:val="center"/>
          <w:rPr>
            <w:rFonts w:ascii="Times New Roman" w:hAnsi="Times New Roman"/>
          </w:rPr>
        </w:pPr>
        <w:r w:rsidRPr="00DA4A0F">
          <w:rPr>
            <w:rFonts w:ascii="Times New Roman" w:hAnsi="Times New Roman"/>
          </w:rPr>
          <w:fldChar w:fldCharType="begin"/>
        </w:r>
        <w:r w:rsidRPr="00DA4A0F">
          <w:rPr>
            <w:rFonts w:ascii="Times New Roman" w:hAnsi="Times New Roman"/>
          </w:rPr>
          <w:instrText>PAGE   \* MERGEFORMAT</w:instrText>
        </w:r>
        <w:r w:rsidRPr="00DA4A0F">
          <w:rPr>
            <w:rFonts w:ascii="Times New Roman" w:hAnsi="Times New Roman"/>
          </w:rPr>
          <w:fldChar w:fldCharType="separate"/>
        </w:r>
        <w:r w:rsidR="00094207" w:rsidRPr="00094207">
          <w:rPr>
            <w:rFonts w:ascii="Times New Roman" w:hAnsi="Times New Roman"/>
            <w:noProof/>
            <w:lang w:val="ru-RU"/>
          </w:rPr>
          <w:t>2</w:t>
        </w:r>
        <w:r w:rsidRPr="00DA4A0F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649B"/>
    <w:multiLevelType w:val="multilevel"/>
    <w:tmpl w:val="6D085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C8E4292"/>
    <w:multiLevelType w:val="hybridMultilevel"/>
    <w:tmpl w:val="36A4BCDE"/>
    <w:lvl w:ilvl="0" w:tplc="1BEA382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3AC3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54D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D698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094EA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8A813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C8C7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14A8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FE8C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E4E0825"/>
    <w:multiLevelType w:val="hybridMultilevel"/>
    <w:tmpl w:val="2E00317E"/>
    <w:lvl w:ilvl="0" w:tplc="0818CC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8634E1B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5B4481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766C6B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F0069E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C1C46F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7C8AA0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054F128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1D1E495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0C01D6"/>
    <w:multiLevelType w:val="multilevel"/>
    <w:tmpl w:val="F64090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4" w15:restartNumberingAfterBreak="0">
    <w:nsid w:val="1D347DBA"/>
    <w:multiLevelType w:val="hybridMultilevel"/>
    <w:tmpl w:val="4E9E5A1E"/>
    <w:lvl w:ilvl="0" w:tplc="C39CB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4A622">
      <w:start w:val="1"/>
      <w:numFmt w:val="lowerLetter"/>
      <w:lvlText w:val="%2."/>
      <w:lvlJc w:val="left"/>
      <w:pPr>
        <w:ind w:left="1440" w:hanging="360"/>
      </w:pPr>
    </w:lvl>
    <w:lvl w:ilvl="2" w:tplc="DC5A2CBA">
      <w:start w:val="1"/>
      <w:numFmt w:val="lowerRoman"/>
      <w:lvlText w:val="%3."/>
      <w:lvlJc w:val="right"/>
      <w:pPr>
        <w:ind w:left="2160" w:hanging="180"/>
      </w:pPr>
    </w:lvl>
    <w:lvl w:ilvl="3" w:tplc="5EB8300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A9AA6452">
      <w:start w:val="1"/>
      <w:numFmt w:val="lowerLetter"/>
      <w:lvlText w:val="%5."/>
      <w:lvlJc w:val="left"/>
      <w:pPr>
        <w:ind w:left="3600" w:hanging="360"/>
      </w:pPr>
    </w:lvl>
    <w:lvl w:ilvl="5" w:tplc="28CEE80E">
      <w:start w:val="1"/>
      <w:numFmt w:val="lowerRoman"/>
      <w:lvlText w:val="%6."/>
      <w:lvlJc w:val="right"/>
      <w:pPr>
        <w:ind w:left="4320" w:hanging="180"/>
      </w:pPr>
    </w:lvl>
    <w:lvl w:ilvl="6" w:tplc="10642DE0">
      <w:start w:val="1"/>
      <w:numFmt w:val="decimal"/>
      <w:lvlText w:val="%7."/>
      <w:lvlJc w:val="left"/>
      <w:pPr>
        <w:ind w:left="5040" w:hanging="360"/>
      </w:pPr>
    </w:lvl>
    <w:lvl w:ilvl="7" w:tplc="5D6C667A">
      <w:start w:val="1"/>
      <w:numFmt w:val="lowerLetter"/>
      <w:lvlText w:val="%8."/>
      <w:lvlJc w:val="left"/>
      <w:pPr>
        <w:ind w:left="5760" w:hanging="360"/>
      </w:pPr>
    </w:lvl>
    <w:lvl w:ilvl="8" w:tplc="EB325E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B1BDF"/>
    <w:multiLevelType w:val="hybridMultilevel"/>
    <w:tmpl w:val="E3DCEDA4"/>
    <w:lvl w:ilvl="0" w:tplc="4C12E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3EF12A">
      <w:start w:val="1"/>
      <w:numFmt w:val="lowerLetter"/>
      <w:lvlText w:val="%2."/>
      <w:lvlJc w:val="left"/>
      <w:pPr>
        <w:ind w:left="1440" w:hanging="360"/>
      </w:pPr>
    </w:lvl>
    <w:lvl w:ilvl="2" w:tplc="7E5617C6">
      <w:start w:val="1"/>
      <w:numFmt w:val="lowerRoman"/>
      <w:lvlText w:val="%3."/>
      <w:lvlJc w:val="right"/>
      <w:pPr>
        <w:ind w:left="2160" w:hanging="180"/>
      </w:pPr>
    </w:lvl>
    <w:lvl w:ilvl="3" w:tplc="525E5138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3E885BB8">
      <w:start w:val="1"/>
      <w:numFmt w:val="lowerLetter"/>
      <w:lvlText w:val="%5."/>
      <w:lvlJc w:val="left"/>
      <w:pPr>
        <w:ind w:left="3600" w:hanging="360"/>
      </w:pPr>
    </w:lvl>
    <w:lvl w:ilvl="5" w:tplc="2BFA7B9E">
      <w:start w:val="1"/>
      <w:numFmt w:val="lowerRoman"/>
      <w:lvlText w:val="%6."/>
      <w:lvlJc w:val="right"/>
      <w:pPr>
        <w:ind w:left="4320" w:hanging="180"/>
      </w:pPr>
    </w:lvl>
    <w:lvl w:ilvl="6" w:tplc="FAC4F29A">
      <w:start w:val="1"/>
      <w:numFmt w:val="decimal"/>
      <w:lvlText w:val="%7."/>
      <w:lvlJc w:val="left"/>
      <w:pPr>
        <w:ind w:left="5040" w:hanging="360"/>
      </w:pPr>
    </w:lvl>
    <w:lvl w:ilvl="7" w:tplc="B80C58D4">
      <w:start w:val="1"/>
      <w:numFmt w:val="lowerLetter"/>
      <w:lvlText w:val="%8."/>
      <w:lvlJc w:val="left"/>
      <w:pPr>
        <w:ind w:left="5760" w:hanging="360"/>
      </w:pPr>
    </w:lvl>
    <w:lvl w:ilvl="8" w:tplc="0E3EBF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16442"/>
    <w:multiLevelType w:val="multilevel"/>
    <w:tmpl w:val="C088B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741F26"/>
    <w:multiLevelType w:val="hybridMultilevel"/>
    <w:tmpl w:val="7D627658"/>
    <w:lvl w:ilvl="0" w:tplc="8A0C8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9AE7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62E4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48CA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605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227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FCD9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4A5D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BED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41A1E"/>
    <w:multiLevelType w:val="hybridMultilevel"/>
    <w:tmpl w:val="3B464260"/>
    <w:lvl w:ilvl="0" w:tplc="D3641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00AC8A">
      <w:start w:val="1"/>
      <w:numFmt w:val="lowerLetter"/>
      <w:lvlText w:val="%2."/>
      <w:lvlJc w:val="left"/>
      <w:pPr>
        <w:ind w:left="1440" w:hanging="360"/>
      </w:pPr>
    </w:lvl>
    <w:lvl w:ilvl="2" w:tplc="C94C1EEA">
      <w:start w:val="1"/>
      <w:numFmt w:val="lowerRoman"/>
      <w:lvlText w:val="%3."/>
      <w:lvlJc w:val="right"/>
      <w:pPr>
        <w:ind w:left="2160" w:hanging="180"/>
      </w:pPr>
    </w:lvl>
    <w:lvl w:ilvl="3" w:tplc="7D2EEBA2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6624D950">
      <w:start w:val="1"/>
      <w:numFmt w:val="lowerLetter"/>
      <w:lvlText w:val="%5."/>
      <w:lvlJc w:val="left"/>
      <w:pPr>
        <w:ind w:left="3600" w:hanging="360"/>
      </w:pPr>
    </w:lvl>
    <w:lvl w:ilvl="5" w:tplc="5E7A093A">
      <w:start w:val="1"/>
      <w:numFmt w:val="lowerRoman"/>
      <w:lvlText w:val="%6."/>
      <w:lvlJc w:val="right"/>
      <w:pPr>
        <w:ind w:left="4320" w:hanging="180"/>
      </w:pPr>
    </w:lvl>
    <w:lvl w:ilvl="6" w:tplc="5FEA118E">
      <w:start w:val="1"/>
      <w:numFmt w:val="decimal"/>
      <w:lvlText w:val="%7."/>
      <w:lvlJc w:val="left"/>
      <w:pPr>
        <w:ind w:left="5040" w:hanging="360"/>
      </w:pPr>
    </w:lvl>
    <w:lvl w:ilvl="7" w:tplc="C694C590">
      <w:start w:val="1"/>
      <w:numFmt w:val="lowerLetter"/>
      <w:lvlText w:val="%8."/>
      <w:lvlJc w:val="left"/>
      <w:pPr>
        <w:ind w:left="5760" w:hanging="360"/>
      </w:pPr>
    </w:lvl>
    <w:lvl w:ilvl="8" w:tplc="D4C4EF1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65E05"/>
    <w:multiLevelType w:val="multilevel"/>
    <w:tmpl w:val="BF907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3651BA5"/>
    <w:multiLevelType w:val="hybridMultilevel"/>
    <w:tmpl w:val="8108B66A"/>
    <w:lvl w:ilvl="0" w:tplc="A9048E32">
      <w:start w:val="1"/>
      <w:numFmt w:val="decimal"/>
      <w:lvlText w:val="%1)"/>
      <w:lvlJc w:val="left"/>
      <w:pPr>
        <w:ind w:left="360" w:hanging="360"/>
      </w:pPr>
    </w:lvl>
    <w:lvl w:ilvl="1" w:tplc="BD04E8A4">
      <w:start w:val="1"/>
      <w:numFmt w:val="lowerLetter"/>
      <w:lvlText w:val="%2)"/>
      <w:lvlJc w:val="left"/>
      <w:pPr>
        <w:ind w:left="720" w:hanging="360"/>
      </w:pPr>
    </w:lvl>
    <w:lvl w:ilvl="2" w:tplc="9B8CC582">
      <w:start w:val="1"/>
      <w:numFmt w:val="lowerRoman"/>
      <w:lvlText w:val="%3)"/>
      <w:lvlJc w:val="left"/>
      <w:pPr>
        <w:ind w:left="1080" w:hanging="360"/>
      </w:pPr>
    </w:lvl>
    <w:lvl w:ilvl="3" w:tplc="A4D2BC20">
      <w:start w:val="1"/>
      <w:numFmt w:val="decimal"/>
      <w:lvlText w:val="%4)"/>
      <w:lvlJc w:val="left"/>
      <w:pPr>
        <w:ind w:left="1440" w:hanging="360"/>
      </w:pPr>
    </w:lvl>
    <w:lvl w:ilvl="4" w:tplc="90F4817C">
      <w:start w:val="1"/>
      <w:numFmt w:val="lowerLetter"/>
      <w:lvlText w:val="%5)"/>
      <w:lvlJc w:val="left"/>
      <w:pPr>
        <w:ind w:left="1800" w:hanging="360"/>
      </w:pPr>
    </w:lvl>
    <w:lvl w:ilvl="5" w:tplc="13503B02">
      <w:start w:val="1"/>
      <w:numFmt w:val="lowerRoman"/>
      <w:lvlText w:val="%6)"/>
      <w:lvlJc w:val="left"/>
      <w:pPr>
        <w:ind w:left="2160" w:hanging="360"/>
      </w:pPr>
    </w:lvl>
    <w:lvl w:ilvl="6" w:tplc="19D0BA18">
      <w:start w:val="1"/>
      <w:numFmt w:val="decimal"/>
      <w:lvlText w:val="%7)"/>
      <w:lvlJc w:val="left"/>
      <w:pPr>
        <w:ind w:left="2520" w:hanging="360"/>
      </w:pPr>
    </w:lvl>
    <w:lvl w:ilvl="7" w:tplc="C69CE53C">
      <w:start w:val="1"/>
      <w:numFmt w:val="lowerLetter"/>
      <w:lvlText w:val="%8)"/>
      <w:lvlJc w:val="left"/>
      <w:pPr>
        <w:ind w:left="2880" w:hanging="360"/>
      </w:pPr>
    </w:lvl>
    <w:lvl w:ilvl="8" w:tplc="B75AABE6">
      <w:start w:val="1"/>
      <w:numFmt w:val="lowerRoman"/>
      <w:lvlText w:val="%9)"/>
      <w:lvlJc w:val="left"/>
      <w:pPr>
        <w:ind w:left="3240" w:hanging="360"/>
      </w:pPr>
    </w:lvl>
  </w:abstractNum>
  <w:abstractNum w:abstractNumId="11" w15:restartNumberingAfterBreak="0">
    <w:nsid w:val="5C10228E"/>
    <w:multiLevelType w:val="hybridMultilevel"/>
    <w:tmpl w:val="93A0FDF8"/>
    <w:lvl w:ilvl="0" w:tplc="D0EEB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C47128">
      <w:start w:val="1"/>
      <w:numFmt w:val="lowerLetter"/>
      <w:lvlText w:val="%2."/>
      <w:lvlJc w:val="left"/>
      <w:pPr>
        <w:ind w:left="1788" w:hanging="360"/>
      </w:pPr>
    </w:lvl>
    <w:lvl w:ilvl="2" w:tplc="6FD498CC">
      <w:start w:val="1"/>
      <w:numFmt w:val="lowerRoman"/>
      <w:lvlText w:val="%3."/>
      <w:lvlJc w:val="right"/>
      <w:pPr>
        <w:ind w:left="2508" w:hanging="180"/>
      </w:pPr>
    </w:lvl>
    <w:lvl w:ilvl="3" w:tplc="4CBC52F2">
      <w:start w:val="1"/>
      <w:numFmt w:val="decimal"/>
      <w:lvlText w:val="%4."/>
      <w:lvlJc w:val="left"/>
      <w:pPr>
        <w:ind w:left="3228" w:hanging="360"/>
      </w:pPr>
    </w:lvl>
    <w:lvl w:ilvl="4" w:tplc="A0F8F722">
      <w:start w:val="1"/>
      <w:numFmt w:val="lowerLetter"/>
      <w:lvlText w:val="%5."/>
      <w:lvlJc w:val="left"/>
      <w:pPr>
        <w:ind w:left="3948" w:hanging="360"/>
      </w:pPr>
    </w:lvl>
    <w:lvl w:ilvl="5" w:tplc="766218D6">
      <w:start w:val="1"/>
      <w:numFmt w:val="lowerRoman"/>
      <w:lvlText w:val="%6."/>
      <w:lvlJc w:val="right"/>
      <w:pPr>
        <w:ind w:left="4668" w:hanging="180"/>
      </w:pPr>
    </w:lvl>
    <w:lvl w:ilvl="6" w:tplc="149AD8D4">
      <w:start w:val="1"/>
      <w:numFmt w:val="decimal"/>
      <w:lvlText w:val="%7."/>
      <w:lvlJc w:val="left"/>
      <w:pPr>
        <w:ind w:left="5388" w:hanging="360"/>
      </w:pPr>
    </w:lvl>
    <w:lvl w:ilvl="7" w:tplc="ECC85610">
      <w:start w:val="1"/>
      <w:numFmt w:val="lowerLetter"/>
      <w:lvlText w:val="%8."/>
      <w:lvlJc w:val="left"/>
      <w:pPr>
        <w:ind w:left="6108" w:hanging="360"/>
      </w:pPr>
    </w:lvl>
    <w:lvl w:ilvl="8" w:tplc="0BB2041A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5D61BC"/>
    <w:multiLevelType w:val="multilevel"/>
    <w:tmpl w:val="9086D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66644FFD"/>
    <w:multiLevelType w:val="multilevel"/>
    <w:tmpl w:val="16EA854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744D73D4"/>
    <w:multiLevelType w:val="hybridMultilevel"/>
    <w:tmpl w:val="9E409B3C"/>
    <w:lvl w:ilvl="0" w:tplc="B8284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348FE0">
      <w:start w:val="1"/>
      <w:numFmt w:val="lowerLetter"/>
      <w:lvlText w:val="%2."/>
      <w:lvlJc w:val="left"/>
      <w:pPr>
        <w:ind w:left="1440" w:hanging="360"/>
      </w:pPr>
    </w:lvl>
    <w:lvl w:ilvl="2" w:tplc="2352839E">
      <w:start w:val="1"/>
      <w:numFmt w:val="lowerRoman"/>
      <w:lvlText w:val="%3."/>
      <w:lvlJc w:val="right"/>
      <w:pPr>
        <w:ind w:left="2160" w:hanging="180"/>
      </w:pPr>
    </w:lvl>
    <w:lvl w:ilvl="3" w:tplc="D3141F20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76AE6938">
      <w:start w:val="1"/>
      <w:numFmt w:val="lowerLetter"/>
      <w:lvlText w:val="%5."/>
      <w:lvlJc w:val="left"/>
      <w:pPr>
        <w:ind w:left="3600" w:hanging="360"/>
      </w:pPr>
    </w:lvl>
    <w:lvl w:ilvl="5" w:tplc="F84C2B7E">
      <w:start w:val="1"/>
      <w:numFmt w:val="lowerRoman"/>
      <w:lvlText w:val="%6."/>
      <w:lvlJc w:val="right"/>
      <w:pPr>
        <w:ind w:left="4320" w:hanging="180"/>
      </w:pPr>
    </w:lvl>
    <w:lvl w:ilvl="6" w:tplc="C4B6FBEC">
      <w:start w:val="1"/>
      <w:numFmt w:val="decimal"/>
      <w:lvlText w:val="%7."/>
      <w:lvlJc w:val="left"/>
      <w:pPr>
        <w:ind w:left="5040" w:hanging="360"/>
      </w:pPr>
    </w:lvl>
    <w:lvl w:ilvl="7" w:tplc="1CC28D28">
      <w:start w:val="1"/>
      <w:numFmt w:val="lowerLetter"/>
      <w:lvlText w:val="%8."/>
      <w:lvlJc w:val="left"/>
      <w:pPr>
        <w:ind w:left="5760" w:hanging="360"/>
      </w:pPr>
    </w:lvl>
    <w:lvl w:ilvl="8" w:tplc="9BFA3C4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92DA7"/>
    <w:multiLevelType w:val="multilevel"/>
    <w:tmpl w:val="624EC5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78B4615B"/>
    <w:multiLevelType w:val="hybridMultilevel"/>
    <w:tmpl w:val="783E809E"/>
    <w:lvl w:ilvl="0" w:tplc="B2C6EA74">
      <w:start w:val="1"/>
      <w:numFmt w:val="bullet"/>
      <w:lvlText w:val="Ø"/>
      <w:lvlJc w:val="left"/>
      <w:pPr>
        <w:ind w:left="720" w:hanging="360"/>
      </w:pPr>
      <w:rPr>
        <w:rFonts w:ascii="Wingdings" w:eastAsia="Wingdings" w:hAnsi="Wingdings" w:cs="Wingdings" w:hint="default"/>
      </w:rPr>
    </w:lvl>
    <w:lvl w:ilvl="1" w:tplc="EBE2D4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E2F4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8A227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30FF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96F0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7C94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C2215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64EC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99345EF"/>
    <w:multiLevelType w:val="hybridMultilevel"/>
    <w:tmpl w:val="554242E8"/>
    <w:lvl w:ilvl="0" w:tplc="3A7E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04680">
      <w:start w:val="1"/>
      <w:numFmt w:val="lowerLetter"/>
      <w:lvlText w:val="%2."/>
      <w:lvlJc w:val="left"/>
      <w:pPr>
        <w:ind w:left="1440" w:hanging="360"/>
      </w:pPr>
    </w:lvl>
    <w:lvl w:ilvl="2" w:tplc="013A62A8">
      <w:start w:val="1"/>
      <w:numFmt w:val="lowerRoman"/>
      <w:lvlText w:val="%3."/>
      <w:lvlJc w:val="right"/>
      <w:pPr>
        <w:ind w:left="2160" w:hanging="180"/>
      </w:pPr>
    </w:lvl>
    <w:lvl w:ilvl="3" w:tplc="450409C2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A844E5C2">
      <w:start w:val="1"/>
      <w:numFmt w:val="lowerLetter"/>
      <w:lvlText w:val="%5."/>
      <w:lvlJc w:val="left"/>
      <w:pPr>
        <w:ind w:left="3600" w:hanging="360"/>
      </w:pPr>
    </w:lvl>
    <w:lvl w:ilvl="5" w:tplc="D96C91BE">
      <w:start w:val="1"/>
      <w:numFmt w:val="lowerRoman"/>
      <w:lvlText w:val="%6."/>
      <w:lvlJc w:val="right"/>
      <w:pPr>
        <w:ind w:left="4320" w:hanging="180"/>
      </w:pPr>
    </w:lvl>
    <w:lvl w:ilvl="6" w:tplc="BCE89320">
      <w:start w:val="1"/>
      <w:numFmt w:val="decimal"/>
      <w:lvlText w:val="%7."/>
      <w:lvlJc w:val="left"/>
      <w:pPr>
        <w:ind w:left="5040" w:hanging="360"/>
      </w:pPr>
    </w:lvl>
    <w:lvl w:ilvl="7" w:tplc="A2C26DCA">
      <w:start w:val="1"/>
      <w:numFmt w:val="lowerLetter"/>
      <w:lvlText w:val="%8."/>
      <w:lvlJc w:val="left"/>
      <w:pPr>
        <w:ind w:left="5760" w:hanging="360"/>
      </w:pPr>
    </w:lvl>
    <w:lvl w:ilvl="8" w:tplc="39222A4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F1F"/>
    <w:multiLevelType w:val="hybridMultilevel"/>
    <w:tmpl w:val="5F9655FA"/>
    <w:lvl w:ilvl="0" w:tplc="EE1C28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AC270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D4C58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CF685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2CDBA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AE613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45CF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B201B7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CEAE4D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7"/>
  </w:num>
  <w:num w:numId="5">
    <w:abstractNumId w:val="8"/>
  </w:num>
  <w:num w:numId="6">
    <w:abstractNumId w:val="14"/>
  </w:num>
  <w:num w:numId="7">
    <w:abstractNumId w:val="4"/>
  </w:num>
  <w:num w:numId="8">
    <w:abstractNumId w:val="5"/>
  </w:num>
  <w:num w:numId="9">
    <w:abstractNumId w:val="16"/>
  </w:num>
  <w:num w:numId="10">
    <w:abstractNumId w:val="10"/>
  </w:num>
  <w:num w:numId="11">
    <w:abstractNumId w:val="1"/>
  </w:num>
  <w:num w:numId="12">
    <w:abstractNumId w:val="11"/>
  </w:num>
  <w:num w:numId="13">
    <w:abstractNumId w:val="13"/>
  </w:num>
  <w:num w:numId="14">
    <w:abstractNumId w:val="17"/>
  </w:num>
  <w:num w:numId="15">
    <w:abstractNumId w:val="9"/>
  </w:num>
  <w:num w:numId="16">
    <w:abstractNumId w:val="0"/>
  </w:num>
  <w:num w:numId="17">
    <w:abstractNumId w:val="15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A18"/>
    <w:rsid w:val="00094207"/>
    <w:rsid w:val="00DA4A0F"/>
    <w:rsid w:val="00E0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D1DF"/>
  <w15:docId w15:val="{C618E232-2FF6-41E5-848E-BAB85197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styleId="af3">
    <w:name w:val="Hyperlink"/>
    <w:basedOn w:val="a0"/>
    <w:uiPriority w:val="99"/>
    <w:semiHidden/>
    <w:unhideWhenUsed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58">
    <w:name w:val="xl58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59">
    <w:name w:val="xl5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60">
    <w:name w:val="xl6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1">
    <w:name w:val="xl6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4">
    <w:name w:val="xl64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styleId="af5">
    <w:name w:val="List Paragraph"/>
    <w:basedOn w:val="a"/>
    <w:link w:val="af6"/>
    <w:uiPriority w:val="34"/>
    <w:qFormat/>
    <w:pPr>
      <w:ind w:left="720"/>
      <w:contextualSpacing/>
    </w:pPr>
  </w:style>
  <w:style w:type="character" w:customStyle="1" w:styleId="af6">
    <w:name w:val="Абзац списка Знак"/>
    <w:link w:val="af5"/>
    <w:uiPriority w:val="34"/>
  </w:style>
  <w:style w:type="paragraph" w:styleId="af7">
    <w:name w:val="Balloon Text"/>
    <w:basedOn w:val="a"/>
    <w:link w:val="af8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fc">
    <w:name w:val="Нижний колонтитул Знак"/>
    <w:basedOn w:val="a0"/>
    <w:link w:val="afb"/>
    <w:uiPriority w:val="99"/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table" w:customStyle="1" w:styleId="1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E0B5DD4-FA2B-4280-947A-5B6E7F8B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1740</Words>
  <Characters>9918</Characters>
  <Application>Microsoft Office Word</Application>
  <DocSecurity>0</DocSecurity>
  <Lines>82</Lines>
  <Paragraphs>23</Paragraphs>
  <ScaleCrop>false</ScaleCrop>
  <Company/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Смирнягина Анна Сергеевна</cp:lastModifiedBy>
  <cp:revision>19</cp:revision>
  <dcterms:created xsi:type="dcterms:W3CDTF">2022-02-28T06:23:00Z</dcterms:created>
  <dcterms:modified xsi:type="dcterms:W3CDTF">2023-02-22T02:43:00Z</dcterms:modified>
</cp:coreProperties>
</file>