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2C7" w:rsidRPr="00D47A81" w:rsidRDefault="004162C7" w:rsidP="004162C7">
      <w:pPr>
        <w:widowControl/>
        <w:jc w:val="right"/>
        <w:rPr>
          <w:sz w:val="22"/>
          <w:szCs w:val="22"/>
        </w:rPr>
      </w:pPr>
      <w:r w:rsidRPr="00D47A81">
        <w:rPr>
          <w:sz w:val="22"/>
          <w:szCs w:val="22"/>
        </w:rPr>
        <w:t>Приложение №2</w:t>
      </w:r>
    </w:p>
    <w:p w:rsidR="004162C7" w:rsidRPr="00D47A81" w:rsidRDefault="004162C7" w:rsidP="004162C7">
      <w:pPr>
        <w:widowControl/>
        <w:jc w:val="right"/>
        <w:rPr>
          <w:sz w:val="22"/>
          <w:szCs w:val="22"/>
        </w:rPr>
      </w:pPr>
      <w:r w:rsidRPr="00D47A81">
        <w:rPr>
          <w:sz w:val="22"/>
          <w:szCs w:val="22"/>
        </w:rPr>
        <w:t xml:space="preserve">К </w:t>
      </w:r>
      <w:r>
        <w:rPr>
          <w:sz w:val="22"/>
          <w:szCs w:val="22"/>
        </w:rPr>
        <w:t>Д</w:t>
      </w:r>
      <w:r w:rsidRPr="00D47A81">
        <w:rPr>
          <w:sz w:val="22"/>
          <w:szCs w:val="22"/>
        </w:rPr>
        <w:t>оговору №______ от «___» ________ 20__ г.</w:t>
      </w:r>
    </w:p>
    <w:p w:rsidR="004162C7" w:rsidRPr="00D47A81" w:rsidRDefault="004162C7" w:rsidP="004162C7">
      <w:pPr>
        <w:widowControl/>
        <w:jc w:val="center"/>
        <w:rPr>
          <w:b/>
          <w:sz w:val="22"/>
          <w:szCs w:val="22"/>
        </w:rPr>
      </w:pPr>
    </w:p>
    <w:p w:rsidR="004162C7" w:rsidRPr="00D47A81" w:rsidRDefault="004162C7" w:rsidP="004162C7">
      <w:pPr>
        <w:widowControl/>
        <w:jc w:val="center"/>
        <w:rPr>
          <w:b/>
          <w:sz w:val="22"/>
          <w:szCs w:val="22"/>
        </w:rPr>
      </w:pPr>
      <w:r w:rsidRPr="00D47A81">
        <w:rPr>
          <w:b/>
          <w:sz w:val="22"/>
          <w:szCs w:val="22"/>
        </w:rPr>
        <w:t>СУБЛИЦЕНЗИОННОЕ СОГЛАШЕНИЕ</w:t>
      </w:r>
    </w:p>
    <w:p w:rsidR="004162C7" w:rsidRPr="00D47A81" w:rsidRDefault="004162C7" w:rsidP="004162C7">
      <w:pPr>
        <w:widowControl/>
        <w:jc w:val="center"/>
        <w:rPr>
          <w:b/>
          <w:sz w:val="22"/>
          <w:szCs w:val="22"/>
        </w:rPr>
      </w:pPr>
    </w:p>
    <w:p w:rsidR="004162C7" w:rsidRPr="00D47A81" w:rsidRDefault="004162C7" w:rsidP="004162C7">
      <w:pPr>
        <w:widowControl/>
        <w:autoSpaceDE/>
        <w:autoSpaceDN/>
        <w:jc w:val="center"/>
        <w:rPr>
          <w:sz w:val="22"/>
          <w:szCs w:val="22"/>
        </w:rPr>
      </w:pPr>
      <w:r w:rsidRPr="00D47A81">
        <w:rPr>
          <w:sz w:val="22"/>
          <w:szCs w:val="22"/>
        </w:rPr>
        <w:t xml:space="preserve">г. </w:t>
      </w:r>
      <w:r>
        <w:rPr>
          <w:sz w:val="22"/>
          <w:szCs w:val="22"/>
        </w:rPr>
        <w:t>Томск</w:t>
      </w:r>
      <w:r w:rsidRPr="00D47A81">
        <w:rPr>
          <w:sz w:val="22"/>
          <w:szCs w:val="22"/>
        </w:rPr>
        <w:tab/>
        <w:t xml:space="preserve">                          </w:t>
      </w:r>
      <w:r w:rsidRPr="00D47A81">
        <w:rPr>
          <w:sz w:val="22"/>
          <w:szCs w:val="22"/>
        </w:rPr>
        <w:tab/>
      </w:r>
      <w:r w:rsidRPr="00D47A81">
        <w:rPr>
          <w:sz w:val="22"/>
          <w:szCs w:val="22"/>
        </w:rPr>
        <w:tab/>
        <w:t xml:space="preserve">                        </w:t>
      </w:r>
      <w:r w:rsidRPr="00D47A81">
        <w:rPr>
          <w:sz w:val="22"/>
          <w:szCs w:val="22"/>
        </w:rPr>
        <w:tab/>
        <w:t xml:space="preserve"> «_____»______________20___ г.</w:t>
      </w:r>
    </w:p>
    <w:p w:rsidR="004162C7" w:rsidRPr="00D47A81" w:rsidRDefault="004162C7" w:rsidP="004162C7">
      <w:pPr>
        <w:widowControl/>
        <w:autoSpaceDE/>
        <w:autoSpaceDN/>
        <w:jc w:val="both"/>
        <w:rPr>
          <w:b/>
          <w:sz w:val="22"/>
          <w:szCs w:val="22"/>
        </w:rPr>
      </w:pPr>
    </w:p>
    <w:p w:rsidR="004162C7" w:rsidRPr="00D47A81" w:rsidRDefault="00D856C3" w:rsidP="004162C7">
      <w:pPr>
        <w:widowControl/>
        <w:autoSpaceDE/>
        <w:autoSpaceDN/>
        <w:ind w:firstLine="720"/>
        <w:jc w:val="both"/>
        <w:rPr>
          <w:sz w:val="22"/>
          <w:szCs w:val="22"/>
        </w:rPr>
      </w:pPr>
      <w:r w:rsidRPr="00A13E7C">
        <w:rPr>
          <w:b/>
          <w:sz w:val="26"/>
          <w:szCs w:val="26"/>
        </w:rPr>
        <w:t xml:space="preserve">Публичное акционерное общество «Томская энергосбытовая компания» (ПАО «Томскэнергосбыт»), </w:t>
      </w:r>
      <w:r w:rsidRPr="00A13E7C">
        <w:rPr>
          <w:sz w:val="26"/>
          <w:szCs w:val="26"/>
        </w:rPr>
        <w:t xml:space="preserve"> именуемое в дальнейшем </w:t>
      </w:r>
      <w:r w:rsidRPr="00A13E7C">
        <w:rPr>
          <w:b/>
          <w:sz w:val="26"/>
          <w:szCs w:val="26"/>
        </w:rPr>
        <w:t>«</w:t>
      </w:r>
      <w:r>
        <w:rPr>
          <w:b/>
          <w:sz w:val="26"/>
          <w:szCs w:val="26"/>
        </w:rPr>
        <w:t>Сублицензиат</w:t>
      </w:r>
      <w:r w:rsidRPr="00A13E7C">
        <w:rPr>
          <w:b/>
          <w:sz w:val="26"/>
          <w:szCs w:val="26"/>
        </w:rPr>
        <w:t>»,</w:t>
      </w:r>
      <w:r w:rsidRPr="00A13E7C">
        <w:rPr>
          <w:sz w:val="26"/>
          <w:szCs w:val="26"/>
        </w:rPr>
        <w:t xml:space="preserve"> в лице Генерального директора Кодина Александра Викторовича, действующего на основании Устава, с одной стороны</w:t>
      </w:r>
      <w:r w:rsidR="004162C7" w:rsidRPr="00D47A81">
        <w:rPr>
          <w:sz w:val="22"/>
          <w:szCs w:val="22"/>
        </w:rPr>
        <w:t>, и</w:t>
      </w:r>
    </w:p>
    <w:p w:rsidR="004162C7" w:rsidRPr="00D47A81" w:rsidRDefault="004162C7" w:rsidP="004162C7">
      <w:pPr>
        <w:widowControl/>
        <w:autoSpaceDE/>
        <w:autoSpaceDN/>
        <w:ind w:firstLine="720"/>
        <w:jc w:val="both"/>
        <w:rPr>
          <w:bCs/>
          <w:sz w:val="22"/>
          <w:szCs w:val="22"/>
        </w:rPr>
      </w:pPr>
      <w:r w:rsidRPr="00D47A81">
        <w:rPr>
          <w:sz w:val="22"/>
          <w:szCs w:val="22"/>
        </w:rPr>
        <w:t xml:space="preserve">_________, </w:t>
      </w:r>
      <w:r w:rsidRPr="00D47A81">
        <w:rPr>
          <w:bCs/>
          <w:sz w:val="22"/>
          <w:szCs w:val="22"/>
        </w:rPr>
        <w:t>___________ «_______________»</w:t>
      </w:r>
      <w:r w:rsidRPr="00D47A81">
        <w:rPr>
          <w:sz w:val="22"/>
          <w:szCs w:val="22"/>
        </w:rPr>
        <w:t>, в лице ________________, действующего на основании _________, именуемое в дальнейшем «Лицензиат», с другой стороны, заключили настоящее соглашение, далее именуемое «Соглашение» к договору №_____ от «___» ________ 20__г., далее именуемому «Договор», о нижеследующем:</w:t>
      </w:r>
    </w:p>
    <w:p w:rsidR="004162C7" w:rsidRPr="00D47A81" w:rsidRDefault="004162C7" w:rsidP="004162C7">
      <w:pPr>
        <w:widowControl/>
        <w:ind w:firstLine="708"/>
        <w:jc w:val="both"/>
        <w:rPr>
          <w:sz w:val="22"/>
          <w:szCs w:val="22"/>
        </w:rPr>
      </w:pPr>
    </w:p>
    <w:p w:rsidR="004162C7" w:rsidRPr="00D47A81" w:rsidRDefault="004162C7" w:rsidP="004162C7">
      <w:pPr>
        <w:keepNext/>
        <w:widowControl/>
        <w:jc w:val="center"/>
        <w:outlineLvl w:val="0"/>
        <w:rPr>
          <w:b/>
          <w:sz w:val="22"/>
          <w:szCs w:val="22"/>
        </w:rPr>
      </w:pPr>
      <w:r w:rsidRPr="00D47A81">
        <w:rPr>
          <w:b/>
          <w:sz w:val="22"/>
          <w:szCs w:val="22"/>
        </w:rPr>
        <w:t>1. Предмет Соглашения</w:t>
      </w:r>
    </w:p>
    <w:p w:rsidR="004162C7" w:rsidRPr="00D47A81" w:rsidRDefault="004162C7" w:rsidP="004162C7">
      <w:pPr>
        <w:widowControl/>
        <w:numPr>
          <w:ilvl w:val="1"/>
          <w:numId w:val="4"/>
        </w:numPr>
        <w:autoSpaceDE/>
        <w:autoSpaceDN/>
        <w:ind w:left="0" w:firstLine="567"/>
        <w:jc w:val="both"/>
        <w:rPr>
          <w:sz w:val="22"/>
          <w:szCs w:val="22"/>
        </w:rPr>
      </w:pPr>
      <w:r w:rsidRPr="00D47A81">
        <w:rPr>
          <w:sz w:val="22"/>
          <w:szCs w:val="22"/>
        </w:rPr>
        <w:t>Лицензиат обязуется предоставить Сублицензиату неисключительные права на использование программного обеспечения на условиях настоящего Соглашения и выдать простую (неисключительную) лицензию на бумажном носителе</w:t>
      </w:r>
      <w:r>
        <w:rPr>
          <w:sz w:val="22"/>
          <w:szCs w:val="22"/>
        </w:rPr>
        <w:t xml:space="preserve"> и в электронном виде</w:t>
      </w:r>
      <w:r w:rsidRPr="00D47A81">
        <w:rPr>
          <w:sz w:val="22"/>
          <w:szCs w:val="22"/>
        </w:rPr>
        <w:t>, на основании которой (которых) Сублицензиат вправе пользоваться сам и предоставить право использования программным обеспечением своим структурным подразделениям, и/или юридическим лицам.</w:t>
      </w:r>
    </w:p>
    <w:p w:rsidR="004162C7" w:rsidRPr="00D47A81" w:rsidRDefault="004162C7" w:rsidP="004162C7">
      <w:pPr>
        <w:widowControl/>
        <w:numPr>
          <w:ilvl w:val="1"/>
          <w:numId w:val="4"/>
        </w:numPr>
        <w:autoSpaceDE/>
        <w:autoSpaceDN/>
        <w:ind w:left="0" w:firstLine="567"/>
        <w:jc w:val="both"/>
        <w:rPr>
          <w:sz w:val="22"/>
          <w:szCs w:val="22"/>
        </w:rPr>
      </w:pPr>
      <w:r w:rsidRPr="00D47A81">
        <w:rPr>
          <w:sz w:val="22"/>
          <w:szCs w:val="22"/>
        </w:rPr>
        <w:t xml:space="preserve">Сублицензиат обязуется уплатить Лицензиату вознаграждение за предоставленное право на использование программного обеспечения в размере и на условиях, установленных </w:t>
      </w:r>
      <w:r>
        <w:rPr>
          <w:sz w:val="22"/>
          <w:szCs w:val="22"/>
        </w:rPr>
        <w:t xml:space="preserve">настоящим Соглашением и </w:t>
      </w:r>
      <w:r w:rsidRPr="00D47A81">
        <w:rPr>
          <w:sz w:val="22"/>
          <w:szCs w:val="22"/>
        </w:rPr>
        <w:t>Договором.</w:t>
      </w:r>
    </w:p>
    <w:p w:rsidR="004162C7" w:rsidRPr="00D47A81" w:rsidRDefault="004162C7" w:rsidP="004162C7">
      <w:pPr>
        <w:widowControl/>
        <w:numPr>
          <w:ilvl w:val="1"/>
          <w:numId w:val="4"/>
        </w:numPr>
        <w:autoSpaceDE/>
        <w:autoSpaceDN/>
        <w:ind w:left="0" w:firstLine="567"/>
        <w:jc w:val="both"/>
        <w:rPr>
          <w:sz w:val="22"/>
          <w:szCs w:val="22"/>
        </w:rPr>
      </w:pPr>
      <w:r w:rsidRPr="00D47A81">
        <w:rPr>
          <w:sz w:val="22"/>
          <w:szCs w:val="22"/>
        </w:rPr>
        <w:t>Предоставление прав на использование программного обеспечения сопровождается передачей Сублицензиату Комплекта программного обеспечения и Лицензии (либо лицензий) на использование программного обеспечения.</w:t>
      </w:r>
    </w:p>
    <w:p w:rsidR="004162C7" w:rsidRPr="00D47A81" w:rsidRDefault="004162C7" w:rsidP="004162C7">
      <w:pPr>
        <w:widowControl/>
        <w:numPr>
          <w:ilvl w:val="1"/>
          <w:numId w:val="4"/>
        </w:numPr>
        <w:autoSpaceDE/>
        <w:autoSpaceDN/>
        <w:ind w:left="0" w:firstLine="567"/>
        <w:jc w:val="both"/>
        <w:rPr>
          <w:sz w:val="22"/>
          <w:szCs w:val="22"/>
        </w:rPr>
      </w:pPr>
      <w:r w:rsidRPr="00D47A81">
        <w:rPr>
          <w:sz w:val="22"/>
          <w:szCs w:val="22"/>
        </w:rPr>
        <w:t>Перечень передаваемого программного обеспечения (лицензий) определен в Приложении № 1 к настоящему Соглашению.</w:t>
      </w:r>
    </w:p>
    <w:p w:rsidR="004162C7" w:rsidRPr="00D47A81" w:rsidRDefault="004162C7" w:rsidP="004162C7">
      <w:pPr>
        <w:widowControl/>
        <w:numPr>
          <w:ilvl w:val="1"/>
          <w:numId w:val="4"/>
        </w:numPr>
        <w:autoSpaceDE/>
        <w:autoSpaceDN/>
        <w:ind w:left="0" w:firstLine="567"/>
        <w:jc w:val="both"/>
        <w:rPr>
          <w:sz w:val="22"/>
          <w:szCs w:val="22"/>
        </w:rPr>
      </w:pPr>
      <w:r w:rsidRPr="00D47A81">
        <w:rPr>
          <w:sz w:val="22"/>
          <w:szCs w:val="22"/>
        </w:rPr>
        <w:t>Объем прав Сублицензиата на использование программного обеспечения установлен настоящим Соглашением.</w:t>
      </w:r>
    </w:p>
    <w:p w:rsidR="004162C7" w:rsidRPr="00D47A81" w:rsidRDefault="004162C7" w:rsidP="004162C7">
      <w:pPr>
        <w:widowControl/>
        <w:numPr>
          <w:ilvl w:val="1"/>
          <w:numId w:val="4"/>
        </w:numPr>
        <w:autoSpaceDE/>
        <w:autoSpaceDN/>
        <w:ind w:left="0" w:firstLine="567"/>
        <w:jc w:val="both"/>
        <w:rPr>
          <w:sz w:val="22"/>
          <w:szCs w:val="22"/>
        </w:rPr>
      </w:pPr>
      <w:r w:rsidRPr="00D47A81">
        <w:rPr>
          <w:sz w:val="22"/>
          <w:szCs w:val="22"/>
        </w:rPr>
        <w:t xml:space="preserve">Территория использования – </w:t>
      </w:r>
      <w:r w:rsidR="007D355A">
        <w:rPr>
          <w:sz w:val="22"/>
          <w:szCs w:val="22"/>
        </w:rPr>
        <w:t>г. Томск</w:t>
      </w:r>
      <w:r w:rsidRPr="00D47A81">
        <w:rPr>
          <w:sz w:val="22"/>
          <w:szCs w:val="22"/>
        </w:rPr>
        <w:t>.</w:t>
      </w:r>
    </w:p>
    <w:p w:rsidR="004162C7" w:rsidRPr="00D47A81" w:rsidRDefault="004162C7" w:rsidP="004162C7">
      <w:pPr>
        <w:widowControl/>
        <w:autoSpaceDE/>
        <w:autoSpaceDN/>
        <w:jc w:val="both"/>
        <w:rPr>
          <w:sz w:val="22"/>
          <w:szCs w:val="22"/>
        </w:rPr>
      </w:pPr>
    </w:p>
    <w:p w:rsidR="004162C7" w:rsidRPr="00D47A81" w:rsidRDefault="004162C7" w:rsidP="004162C7">
      <w:pPr>
        <w:keepNext/>
        <w:widowControl/>
        <w:numPr>
          <w:ilvl w:val="0"/>
          <w:numId w:val="1"/>
        </w:numPr>
        <w:autoSpaceDE/>
        <w:autoSpaceDN/>
        <w:jc w:val="center"/>
        <w:outlineLvl w:val="0"/>
        <w:rPr>
          <w:b/>
          <w:sz w:val="22"/>
          <w:szCs w:val="22"/>
        </w:rPr>
      </w:pPr>
      <w:r w:rsidRPr="00D47A81">
        <w:rPr>
          <w:b/>
          <w:sz w:val="22"/>
          <w:szCs w:val="22"/>
        </w:rPr>
        <w:t>Права и обязанности Лицензиата</w:t>
      </w:r>
    </w:p>
    <w:p w:rsidR="004162C7" w:rsidRPr="00D47A81" w:rsidRDefault="004162C7" w:rsidP="004162C7">
      <w:pPr>
        <w:widowControl/>
        <w:numPr>
          <w:ilvl w:val="1"/>
          <w:numId w:val="5"/>
        </w:numPr>
        <w:autoSpaceDE/>
        <w:autoSpaceDN/>
        <w:ind w:firstLine="207"/>
        <w:jc w:val="both"/>
        <w:rPr>
          <w:b/>
          <w:sz w:val="22"/>
          <w:szCs w:val="22"/>
        </w:rPr>
      </w:pPr>
      <w:r w:rsidRPr="00D47A81">
        <w:rPr>
          <w:b/>
          <w:sz w:val="22"/>
          <w:szCs w:val="22"/>
        </w:rPr>
        <w:t>Права Лицензиата:</w:t>
      </w:r>
    </w:p>
    <w:p w:rsidR="004162C7" w:rsidRPr="00D47A81" w:rsidRDefault="004162C7" w:rsidP="004162C7">
      <w:pPr>
        <w:widowControl/>
        <w:numPr>
          <w:ilvl w:val="2"/>
          <w:numId w:val="5"/>
        </w:numPr>
        <w:autoSpaceDE/>
        <w:autoSpaceDN/>
        <w:ind w:left="0" w:firstLine="567"/>
        <w:jc w:val="both"/>
        <w:rPr>
          <w:sz w:val="22"/>
          <w:szCs w:val="22"/>
        </w:rPr>
      </w:pPr>
      <w:r w:rsidRPr="00D47A81">
        <w:rPr>
          <w:sz w:val="22"/>
          <w:szCs w:val="22"/>
        </w:rPr>
        <w:t xml:space="preserve">Лицензиату принадлежат права на использование программного обеспечения, в том числе право на распоряжение программным обеспечением, на его использование в любой форме и любым способом в соответствии с </w:t>
      </w:r>
      <w:r w:rsidRPr="00D47A81">
        <w:rPr>
          <w:b/>
          <w:sz w:val="22"/>
          <w:szCs w:val="22"/>
        </w:rPr>
        <w:t>___________________________________________</w:t>
      </w:r>
      <w:r w:rsidRPr="00D47A81">
        <w:rPr>
          <w:sz w:val="22"/>
          <w:szCs w:val="22"/>
        </w:rPr>
        <w:t xml:space="preserve"> в связи с чем Лицензиат гарантирует, что он обладает всеми правами, необходимыми для заключения и исполнения настоящего Соглашения.</w:t>
      </w:r>
    </w:p>
    <w:p w:rsidR="004162C7" w:rsidRPr="00D47A81" w:rsidRDefault="004162C7" w:rsidP="004162C7">
      <w:pPr>
        <w:widowControl/>
        <w:numPr>
          <w:ilvl w:val="2"/>
          <w:numId w:val="5"/>
        </w:numPr>
        <w:autoSpaceDE/>
        <w:autoSpaceDN/>
        <w:ind w:left="0" w:firstLine="567"/>
        <w:jc w:val="both"/>
        <w:rPr>
          <w:sz w:val="22"/>
          <w:szCs w:val="22"/>
        </w:rPr>
      </w:pPr>
      <w:r w:rsidRPr="00D47A81">
        <w:rPr>
          <w:sz w:val="22"/>
          <w:szCs w:val="22"/>
        </w:rPr>
        <w:t>Лицензиат вправе требовать выплаты вознаграждения за предоставленное право на использование программного обеспечения.</w:t>
      </w:r>
    </w:p>
    <w:p w:rsidR="004162C7" w:rsidRPr="00D47A81" w:rsidRDefault="004162C7" w:rsidP="004162C7">
      <w:pPr>
        <w:widowControl/>
        <w:numPr>
          <w:ilvl w:val="2"/>
          <w:numId w:val="5"/>
        </w:numPr>
        <w:autoSpaceDE/>
        <w:autoSpaceDN/>
        <w:ind w:left="0" w:firstLine="567"/>
        <w:jc w:val="both"/>
        <w:rPr>
          <w:sz w:val="22"/>
          <w:szCs w:val="22"/>
        </w:rPr>
      </w:pPr>
      <w:r w:rsidRPr="00D47A81">
        <w:rPr>
          <w:sz w:val="22"/>
          <w:szCs w:val="22"/>
        </w:rPr>
        <w:t>В случае нарушения прав Лицензиат вправе осуществлять защиту своих прав в порядке и способами, предусмотренными законом, в том числе Лицензиат вправе требовать от нарушителя возмещения причиненного ущерба, подтвержденного документально.</w:t>
      </w:r>
    </w:p>
    <w:p w:rsidR="004162C7" w:rsidRPr="00D47A81" w:rsidRDefault="004162C7" w:rsidP="004162C7">
      <w:pPr>
        <w:widowControl/>
        <w:autoSpaceDE/>
        <w:autoSpaceDN/>
        <w:jc w:val="both"/>
        <w:rPr>
          <w:sz w:val="22"/>
          <w:szCs w:val="22"/>
        </w:rPr>
      </w:pPr>
    </w:p>
    <w:p w:rsidR="004162C7" w:rsidRPr="00D47A81" w:rsidRDefault="004162C7" w:rsidP="004162C7">
      <w:pPr>
        <w:widowControl/>
        <w:numPr>
          <w:ilvl w:val="1"/>
          <w:numId w:val="5"/>
        </w:numPr>
        <w:autoSpaceDE/>
        <w:autoSpaceDN/>
        <w:ind w:left="720" w:hanging="153"/>
        <w:jc w:val="both"/>
        <w:rPr>
          <w:sz w:val="22"/>
          <w:szCs w:val="22"/>
        </w:rPr>
      </w:pPr>
      <w:r w:rsidRPr="00D47A81">
        <w:rPr>
          <w:b/>
          <w:sz w:val="22"/>
          <w:szCs w:val="22"/>
        </w:rPr>
        <w:t>Обязанности Лицензиата:</w:t>
      </w:r>
    </w:p>
    <w:p w:rsidR="004162C7" w:rsidRPr="00D47A81" w:rsidRDefault="004162C7" w:rsidP="004162C7">
      <w:pPr>
        <w:widowControl/>
        <w:numPr>
          <w:ilvl w:val="2"/>
          <w:numId w:val="5"/>
        </w:numPr>
        <w:autoSpaceDE/>
        <w:autoSpaceDN/>
        <w:ind w:left="0" w:firstLine="567"/>
        <w:jc w:val="both"/>
        <w:rPr>
          <w:sz w:val="22"/>
          <w:szCs w:val="22"/>
        </w:rPr>
      </w:pPr>
      <w:r w:rsidRPr="00D47A81">
        <w:rPr>
          <w:sz w:val="22"/>
          <w:szCs w:val="22"/>
        </w:rPr>
        <w:t>Лицензиат обязан предоставить Сублицензиату программное обеспечение, указанное в Приложении</w:t>
      </w:r>
      <w:r>
        <w:rPr>
          <w:sz w:val="22"/>
          <w:szCs w:val="22"/>
        </w:rPr>
        <w:t xml:space="preserve"> </w:t>
      </w:r>
      <w:r w:rsidRPr="00D47A81">
        <w:rPr>
          <w:sz w:val="22"/>
          <w:szCs w:val="22"/>
        </w:rPr>
        <w:t xml:space="preserve">№1 для использования, передав Сублицензиату Комплекты программного обеспечения в количестве, установленном Приложением №1 к настоящему Соглашению в </w:t>
      </w:r>
      <w:r>
        <w:rPr>
          <w:sz w:val="22"/>
          <w:szCs w:val="22"/>
        </w:rPr>
        <w:t>соответствии с графиком поставки (Приложение №3 к Договору)</w:t>
      </w:r>
      <w:r w:rsidRPr="00D47A81">
        <w:rPr>
          <w:sz w:val="22"/>
          <w:szCs w:val="22"/>
        </w:rPr>
        <w:t>.</w:t>
      </w:r>
    </w:p>
    <w:p w:rsidR="004162C7" w:rsidRPr="00DE6256" w:rsidRDefault="004162C7" w:rsidP="004162C7">
      <w:pPr>
        <w:keepNext/>
        <w:keepLines/>
        <w:widowControl/>
        <w:numPr>
          <w:ilvl w:val="2"/>
          <w:numId w:val="5"/>
        </w:numPr>
        <w:suppressAutoHyphens/>
        <w:autoSpaceDE/>
        <w:autoSpaceDN/>
        <w:adjustRightInd w:val="0"/>
        <w:ind w:left="0" w:firstLine="426"/>
        <w:contextualSpacing/>
        <w:jc w:val="both"/>
        <w:rPr>
          <w:bCs/>
          <w:sz w:val="22"/>
          <w:szCs w:val="22"/>
        </w:rPr>
      </w:pPr>
      <w:r w:rsidRPr="00D47A81">
        <w:rPr>
          <w:sz w:val="22"/>
          <w:szCs w:val="22"/>
        </w:rPr>
        <w:lastRenderedPageBreak/>
        <w:t>Лицензиат обязан выдать Сублицензиату лицензию (либо лицензии) на использование программного обеспечения, в которой должны быть отражены основные условия Сублицензионного соглашения.</w:t>
      </w:r>
    </w:p>
    <w:p w:rsidR="004162C7" w:rsidRPr="00D47A81" w:rsidRDefault="004162C7" w:rsidP="004162C7">
      <w:pPr>
        <w:keepNext/>
        <w:keepLines/>
        <w:widowControl/>
        <w:suppressAutoHyphens/>
        <w:autoSpaceDE/>
        <w:autoSpaceDN/>
        <w:adjustRightInd w:val="0"/>
        <w:ind w:left="426"/>
        <w:contextualSpacing/>
        <w:jc w:val="both"/>
        <w:rPr>
          <w:bCs/>
          <w:sz w:val="22"/>
          <w:szCs w:val="22"/>
        </w:rPr>
      </w:pPr>
    </w:p>
    <w:p w:rsidR="004162C7" w:rsidRPr="00D47A81" w:rsidRDefault="004162C7" w:rsidP="004162C7">
      <w:pPr>
        <w:widowControl/>
        <w:numPr>
          <w:ilvl w:val="0"/>
          <w:numId w:val="5"/>
        </w:numPr>
        <w:autoSpaceDE/>
        <w:autoSpaceDN/>
        <w:jc w:val="center"/>
        <w:rPr>
          <w:b/>
          <w:sz w:val="22"/>
          <w:szCs w:val="22"/>
        </w:rPr>
      </w:pPr>
      <w:r w:rsidRPr="00D47A81">
        <w:rPr>
          <w:b/>
          <w:sz w:val="22"/>
          <w:szCs w:val="22"/>
        </w:rPr>
        <w:t>Права и обязанности Сублицензиата</w:t>
      </w:r>
    </w:p>
    <w:p w:rsidR="004162C7" w:rsidRPr="00D47A81" w:rsidRDefault="004162C7" w:rsidP="004162C7">
      <w:pPr>
        <w:widowControl/>
        <w:numPr>
          <w:ilvl w:val="1"/>
          <w:numId w:val="5"/>
        </w:numPr>
        <w:autoSpaceDE/>
        <w:autoSpaceDN/>
        <w:ind w:left="0" w:firstLine="567"/>
        <w:jc w:val="both"/>
        <w:rPr>
          <w:b/>
          <w:sz w:val="22"/>
          <w:szCs w:val="22"/>
        </w:rPr>
      </w:pPr>
      <w:r w:rsidRPr="00D47A81">
        <w:rPr>
          <w:b/>
          <w:sz w:val="22"/>
          <w:szCs w:val="22"/>
        </w:rPr>
        <w:t>Сублицензиат вправе:</w:t>
      </w:r>
    </w:p>
    <w:p w:rsidR="004162C7" w:rsidRPr="00D47A81" w:rsidRDefault="004162C7" w:rsidP="004162C7">
      <w:pPr>
        <w:widowControl/>
        <w:numPr>
          <w:ilvl w:val="2"/>
          <w:numId w:val="5"/>
        </w:numPr>
        <w:autoSpaceDE/>
        <w:autoSpaceDN/>
        <w:ind w:left="0" w:firstLine="567"/>
        <w:jc w:val="both"/>
        <w:rPr>
          <w:sz w:val="22"/>
          <w:szCs w:val="22"/>
        </w:rPr>
      </w:pPr>
      <w:r w:rsidRPr="00D47A81">
        <w:rPr>
          <w:sz w:val="22"/>
          <w:szCs w:val="22"/>
        </w:rPr>
        <w:t>Осуществлять эксплуатацию программного обеспечения в соответствии с его назначением, в том числе запись и хранение в памяти ЭВМ.</w:t>
      </w:r>
    </w:p>
    <w:p w:rsidR="004162C7" w:rsidRPr="00D47A81" w:rsidRDefault="004162C7" w:rsidP="004162C7">
      <w:pPr>
        <w:widowControl/>
        <w:numPr>
          <w:ilvl w:val="2"/>
          <w:numId w:val="5"/>
        </w:numPr>
        <w:autoSpaceDE/>
        <w:autoSpaceDN/>
        <w:ind w:left="0" w:firstLine="567"/>
        <w:jc w:val="both"/>
        <w:rPr>
          <w:sz w:val="22"/>
          <w:szCs w:val="22"/>
        </w:rPr>
      </w:pPr>
      <w:r w:rsidRPr="00D47A81">
        <w:rPr>
          <w:sz w:val="22"/>
          <w:szCs w:val="22"/>
        </w:rPr>
        <w:t>Изготовить копию программы при условии, что эта копия предназначена только для архивных целей и для замены правомерно приобретенного экземпляра в случаях, когда оригинал программы утерян, уничтожен или стал непригоден для использования. При этом копия программы не может быть использована для иных целей, кроме целей, указанных в настоящем Соглашении и должна быть возвращена Лицензиату либо уничтожена в случае, если владение экземпляром этой программы перестает быть правомерным.</w:t>
      </w:r>
    </w:p>
    <w:p w:rsidR="004162C7" w:rsidRPr="00D47A81" w:rsidRDefault="004162C7" w:rsidP="004162C7">
      <w:pPr>
        <w:widowControl/>
        <w:numPr>
          <w:ilvl w:val="2"/>
          <w:numId w:val="5"/>
        </w:numPr>
        <w:autoSpaceDE/>
        <w:autoSpaceDN/>
        <w:ind w:left="0" w:firstLine="567"/>
        <w:jc w:val="both"/>
        <w:rPr>
          <w:sz w:val="22"/>
          <w:szCs w:val="22"/>
        </w:rPr>
      </w:pPr>
      <w:r w:rsidRPr="00D47A81">
        <w:rPr>
          <w:sz w:val="22"/>
          <w:szCs w:val="22"/>
        </w:rPr>
        <w:t>Сублицензиат не обязан представлять Лицензиату отчеты об использовании программ.</w:t>
      </w:r>
    </w:p>
    <w:p w:rsidR="004162C7" w:rsidRPr="00D47A81" w:rsidRDefault="004162C7" w:rsidP="004162C7">
      <w:pPr>
        <w:widowControl/>
        <w:numPr>
          <w:ilvl w:val="1"/>
          <w:numId w:val="5"/>
        </w:numPr>
        <w:autoSpaceDE/>
        <w:autoSpaceDN/>
        <w:ind w:left="0" w:firstLine="567"/>
        <w:jc w:val="both"/>
        <w:rPr>
          <w:b/>
          <w:sz w:val="22"/>
          <w:szCs w:val="22"/>
        </w:rPr>
      </w:pPr>
      <w:r w:rsidRPr="00D47A81">
        <w:rPr>
          <w:b/>
          <w:sz w:val="22"/>
          <w:szCs w:val="22"/>
        </w:rPr>
        <w:t>Сублицензиат обязан:</w:t>
      </w:r>
    </w:p>
    <w:p w:rsidR="004162C7" w:rsidRPr="00D47A81" w:rsidRDefault="004162C7" w:rsidP="004162C7">
      <w:pPr>
        <w:widowControl/>
        <w:numPr>
          <w:ilvl w:val="2"/>
          <w:numId w:val="5"/>
        </w:numPr>
        <w:autoSpaceDE/>
        <w:autoSpaceDN/>
        <w:ind w:left="0" w:firstLine="567"/>
        <w:jc w:val="both"/>
        <w:rPr>
          <w:sz w:val="22"/>
          <w:szCs w:val="22"/>
        </w:rPr>
      </w:pPr>
      <w:r w:rsidRPr="00D47A81">
        <w:rPr>
          <w:sz w:val="22"/>
          <w:szCs w:val="22"/>
        </w:rPr>
        <w:t xml:space="preserve">В течение </w:t>
      </w:r>
      <w:r>
        <w:rPr>
          <w:sz w:val="22"/>
          <w:szCs w:val="22"/>
        </w:rPr>
        <w:t>5</w:t>
      </w:r>
      <w:r w:rsidRPr="00D47A81">
        <w:rPr>
          <w:sz w:val="22"/>
          <w:szCs w:val="22"/>
        </w:rPr>
        <w:t xml:space="preserve"> (</w:t>
      </w:r>
      <w:r>
        <w:rPr>
          <w:sz w:val="22"/>
          <w:szCs w:val="22"/>
        </w:rPr>
        <w:t>пяти</w:t>
      </w:r>
      <w:r w:rsidRPr="00D47A81">
        <w:rPr>
          <w:sz w:val="22"/>
          <w:szCs w:val="22"/>
        </w:rPr>
        <w:t xml:space="preserve">) </w:t>
      </w:r>
      <w:r>
        <w:rPr>
          <w:sz w:val="22"/>
          <w:szCs w:val="22"/>
        </w:rPr>
        <w:t>рабочих</w:t>
      </w:r>
      <w:r w:rsidRPr="00D47A81">
        <w:rPr>
          <w:sz w:val="22"/>
          <w:szCs w:val="22"/>
        </w:rPr>
        <w:t xml:space="preserve"> дней с момента заключения Договора предоставить Лицензиату индивидуальную информацию Сублицензиата при ее отсутствии у Лицензиата.</w:t>
      </w:r>
    </w:p>
    <w:p w:rsidR="004162C7" w:rsidRPr="00D47A81" w:rsidRDefault="004162C7" w:rsidP="004162C7">
      <w:pPr>
        <w:widowControl/>
        <w:numPr>
          <w:ilvl w:val="2"/>
          <w:numId w:val="5"/>
        </w:numPr>
        <w:autoSpaceDE/>
        <w:autoSpaceDN/>
        <w:ind w:left="0" w:firstLine="567"/>
        <w:jc w:val="both"/>
        <w:rPr>
          <w:sz w:val="22"/>
          <w:szCs w:val="22"/>
        </w:rPr>
      </w:pPr>
      <w:r w:rsidRPr="00D47A81">
        <w:rPr>
          <w:sz w:val="22"/>
          <w:szCs w:val="22"/>
        </w:rPr>
        <w:t>Не допускать действий, влекущих за собой нарушение прав Лицензиата.</w:t>
      </w:r>
    </w:p>
    <w:p w:rsidR="004162C7" w:rsidRPr="00D47A81" w:rsidRDefault="004162C7" w:rsidP="004162C7">
      <w:pPr>
        <w:widowControl/>
        <w:numPr>
          <w:ilvl w:val="2"/>
          <w:numId w:val="5"/>
        </w:numPr>
        <w:autoSpaceDE/>
        <w:autoSpaceDN/>
        <w:ind w:left="0" w:firstLine="567"/>
        <w:jc w:val="both"/>
        <w:rPr>
          <w:sz w:val="22"/>
          <w:szCs w:val="22"/>
        </w:rPr>
      </w:pPr>
      <w:r w:rsidRPr="00D47A81">
        <w:rPr>
          <w:sz w:val="22"/>
          <w:szCs w:val="22"/>
        </w:rPr>
        <w:t xml:space="preserve">Своевременно производить оплату вознаграждения за право пользования программным обеспечением в соответствии с условиями Договора. </w:t>
      </w:r>
    </w:p>
    <w:p w:rsidR="004162C7" w:rsidRPr="00D47A81" w:rsidRDefault="004162C7" w:rsidP="004162C7">
      <w:pPr>
        <w:widowControl/>
        <w:autoSpaceDE/>
        <w:autoSpaceDN/>
        <w:jc w:val="center"/>
        <w:rPr>
          <w:sz w:val="22"/>
          <w:szCs w:val="22"/>
        </w:rPr>
      </w:pPr>
    </w:p>
    <w:p w:rsidR="004162C7" w:rsidRPr="00D47A81" w:rsidRDefault="004162C7" w:rsidP="004162C7">
      <w:pPr>
        <w:widowControl/>
        <w:numPr>
          <w:ilvl w:val="0"/>
          <w:numId w:val="5"/>
        </w:numPr>
        <w:autoSpaceDE/>
        <w:autoSpaceDN/>
        <w:jc w:val="center"/>
        <w:rPr>
          <w:b/>
          <w:sz w:val="22"/>
          <w:szCs w:val="22"/>
        </w:rPr>
      </w:pPr>
      <w:r w:rsidRPr="00D47A81">
        <w:rPr>
          <w:b/>
          <w:sz w:val="22"/>
          <w:szCs w:val="22"/>
        </w:rPr>
        <w:t>Цена Соглашения.  Порядок расчетов</w:t>
      </w:r>
    </w:p>
    <w:p w:rsidR="004162C7" w:rsidRPr="00D47A81" w:rsidRDefault="004162C7" w:rsidP="004162C7">
      <w:pPr>
        <w:widowControl/>
        <w:numPr>
          <w:ilvl w:val="1"/>
          <w:numId w:val="5"/>
        </w:numPr>
        <w:autoSpaceDE/>
        <w:autoSpaceDN/>
        <w:ind w:left="0" w:firstLine="720"/>
        <w:jc w:val="both"/>
        <w:rPr>
          <w:b/>
          <w:sz w:val="22"/>
          <w:szCs w:val="22"/>
        </w:rPr>
      </w:pPr>
      <w:r w:rsidRPr="00D47A81">
        <w:rPr>
          <w:sz w:val="22"/>
          <w:szCs w:val="22"/>
        </w:rPr>
        <w:t>Размер вознаграждения, подлежащего уплате Лицензиату за предоставление неисключительного права на использование программного обеспечения, определяется в соответствии с Приложением №1 к настоящему Соглашению и составляет _________(________), НДС не облагается на основании пункта 2 подпункта 26 ст.149 Налогового кодекса РФ.</w:t>
      </w:r>
    </w:p>
    <w:p w:rsidR="004162C7" w:rsidRPr="00D47A81" w:rsidRDefault="004162C7" w:rsidP="004162C7">
      <w:pPr>
        <w:widowControl/>
        <w:numPr>
          <w:ilvl w:val="1"/>
          <w:numId w:val="5"/>
        </w:numPr>
        <w:autoSpaceDE/>
        <w:autoSpaceDN/>
        <w:ind w:left="0" w:firstLine="720"/>
        <w:jc w:val="both"/>
        <w:rPr>
          <w:b/>
          <w:sz w:val="22"/>
          <w:szCs w:val="22"/>
        </w:rPr>
      </w:pPr>
      <w:r w:rsidRPr="00D47A81">
        <w:rPr>
          <w:sz w:val="22"/>
          <w:szCs w:val="22"/>
        </w:rPr>
        <w:t>Сублицензиат производит оплату вознаграждения на условиях Договора.</w:t>
      </w:r>
    </w:p>
    <w:p w:rsidR="004162C7" w:rsidRPr="00D47A81" w:rsidRDefault="004162C7" w:rsidP="004162C7">
      <w:pPr>
        <w:widowControl/>
        <w:jc w:val="both"/>
        <w:rPr>
          <w:b/>
          <w:sz w:val="22"/>
          <w:szCs w:val="22"/>
        </w:rPr>
      </w:pPr>
    </w:p>
    <w:p w:rsidR="004162C7" w:rsidRPr="00D47A81" w:rsidRDefault="004162C7" w:rsidP="004162C7">
      <w:pPr>
        <w:widowControl/>
        <w:numPr>
          <w:ilvl w:val="0"/>
          <w:numId w:val="2"/>
        </w:numPr>
        <w:autoSpaceDE/>
        <w:autoSpaceDN/>
        <w:ind w:left="0" w:firstLine="0"/>
        <w:jc w:val="center"/>
        <w:rPr>
          <w:b/>
          <w:sz w:val="22"/>
          <w:szCs w:val="22"/>
        </w:rPr>
      </w:pPr>
      <w:r w:rsidRPr="00D47A81">
        <w:rPr>
          <w:b/>
          <w:sz w:val="22"/>
          <w:szCs w:val="22"/>
        </w:rPr>
        <w:t>Порядок сдачи и приемки</w:t>
      </w:r>
    </w:p>
    <w:p w:rsidR="004162C7" w:rsidRPr="00D47A81" w:rsidRDefault="004162C7" w:rsidP="004162C7">
      <w:pPr>
        <w:widowControl/>
        <w:numPr>
          <w:ilvl w:val="1"/>
          <w:numId w:val="6"/>
        </w:numPr>
        <w:autoSpaceDE/>
        <w:autoSpaceDN/>
        <w:ind w:left="0" w:firstLine="709"/>
        <w:jc w:val="both"/>
        <w:rPr>
          <w:sz w:val="22"/>
          <w:szCs w:val="22"/>
        </w:rPr>
      </w:pPr>
      <w:r w:rsidRPr="00D47A81">
        <w:rPr>
          <w:sz w:val="22"/>
          <w:szCs w:val="22"/>
        </w:rPr>
        <w:t>Программное обеспечение передаётся представителю Сублицензиата с подписанием сторонами Акта приема-передачи лицензии (программного обеспечения). Акт приема-передачи составляет Лицензиат и предоставляет Сублицензиату совместно с программным обеспечением.</w:t>
      </w:r>
    </w:p>
    <w:p w:rsidR="004162C7" w:rsidRPr="00D47A81" w:rsidRDefault="004162C7" w:rsidP="004162C7">
      <w:pPr>
        <w:widowControl/>
        <w:numPr>
          <w:ilvl w:val="1"/>
          <w:numId w:val="6"/>
        </w:numPr>
        <w:autoSpaceDE/>
        <w:autoSpaceDN/>
        <w:ind w:left="0" w:firstLine="709"/>
        <w:jc w:val="both"/>
        <w:rPr>
          <w:sz w:val="22"/>
          <w:szCs w:val="22"/>
        </w:rPr>
      </w:pPr>
      <w:r w:rsidRPr="00D47A81">
        <w:rPr>
          <w:sz w:val="22"/>
          <w:szCs w:val="22"/>
        </w:rPr>
        <w:t>Датой получения комплекта (комплектов) программного обеспечения Сублицензиатом считается дата подписания сторонами Акта приема-передачи лицензии (программного обеспечения).</w:t>
      </w:r>
    </w:p>
    <w:p w:rsidR="004162C7" w:rsidRPr="00D47A81" w:rsidRDefault="004162C7" w:rsidP="004162C7">
      <w:pPr>
        <w:widowControl/>
        <w:numPr>
          <w:ilvl w:val="1"/>
          <w:numId w:val="6"/>
        </w:numPr>
        <w:autoSpaceDE/>
        <w:autoSpaceDN/>
        <w:ind w:left="0" w:firstLine="709"/>
        <w:jc w:val="both"/>
        <w:rPr>
          <w:sz w:val="22"/>
          <w:szCs w:val="22"/>
        </w:rPr>
      </w:pPr>
      <w:r w:rsidRPr="00D47A81">
        <w:rPr>
          <w:rFonts w:eastAsia="Calibri"/>
          <w:sz w:val="22"/>
          <w:szCs w:val="22"/>
        </w:rPr>
        <w:t>Проверка наименования, комплектации, иных данных, касающихся предоставляемых прав использования программ, осуществляется Сублицензиатом не позднее – 5 (пяти) рабочих дней с момента предоставления указанных прав. Подписание Акта приема-передачи не лишает Сублицензиата права ссылаться на недостатки переданных прав использования программ и предъявлять соответствующие требования к Сублицензиату. В случае выявления каких-либо несоответствий Стороны составляют соответствующий акт.</w:t>
      </w:r>
    </w:p>
    <w:p w:rsidR="004162C7" w:rsidRPr="00D47A81" w:rsidRDefault="004162C7" w:rsidP="004162C7">
      <w:pPr>
        <w:widowControl/>
        <w:jc w:val="center"/>
        <w:rPr>
          <w:b/>
          <w:sz w:val="22"/>
          <w:szCs w:val="22"/>
        </w:rPr>
      </w:pPr>
    </w:p>
    <w:p w:rsidR="004162C7" w:rsidRPr="00D47A81" w:rsidRDefault="004162C7" w:rsidP="004162C7">
      <w:pPr>
        <w:widowControl/>
        <w:numPr>
          <w:ilvl w:val="0"/>
          <w:numId w:val="3"/>
        </w:numPr>
        <w:autoSpaceDE/>
        <w:autoSpaceDN/>
        <w:jc w:val="center"/>
        <w:rPr>
          <w:b/>
          <w:sz w:val="22"/>
          <w:szCs w:val="22"/>
        </w:rPr>
      </w:pPr>
      <w:r w:rsidRPr="00D47A81">
        <w:rPr>
          <w:b/>
          <w:sz w:val="22"/>
          <w:szCs w:val="22"/>
        </w:rPr>
        <w:t>Прочие условия</w:t>
      </w:r>
    </w:p>
    <w:p w:rsidR="004162C7" w:rsidRPr="00D47A81" w:rsidRDefault="004162C7" w:rsidP="004162C7">
      <w:pPr>
        <w:widowControl/>
        <w:numPr>
          <w:ilvl w:val="1"/>
          <w:numId w:val="3"/>
        </w:numPr>
        <w:autoSpaceDE/>
        <w:autoSpaceDN/>
        <w:ind w:left="0" w:firstLine="720"/>
        <w:jc w:val="both"/>
        <w:rPr>
          <w:sz w:val="22"/>
          <w:szCs w:val="22"/>
        </w:rPr>
      </w:pPr>
      <w:r w:rsidRPr="00D47A81">
        <w:rPr>
          <w:sz w:val="22"/>
          <w:szCs w:val="22"/>
        </w:rPr>
        <w:t>Права на использование программного обеспечения либо его новых версий, переданные по настоящему Соглашению, не могут передаваться Сублицензиатом полностью или частично другим лицам, кроме случаев, предусмотренных настоящим С</w:t>
      </w:r>
      <w:r>
        <w:rPr>
          <w:sz w:val="22"/>
          <w:szCs w:val="22"/>
        </w:rPr>
        <w:t>о</w:t>
      </w:r>
      <w:r w:rsidRPr="00D47A81">
        <w:rPr>
          <w:sz w:val="22"/>
          <w:szCs w:val="22"/>
        </w:rPr>
        <w:t>глашением.</w:t>
      </w:r>
    </w:p>
    <w:p w:rsidR="004162C7" w:rsidRPr="00D47A81" w:rsidRDefault="004162C7" w:rsidP="004162C7">
      <w:pPr>
        <w:widowControl/>
        <w:numPr>
          <w:ilvl w:val="1"/>
          <w:numId w:val="3"/>
        </w:numPr>
        <w:tabs>
          <w:tab w:val="num" w:pos="709"/>
        </w:tabs>
        <w:autoSpaceDE/>
        <w:autoSpaceDN/>
        <w:ind w:left="0" w:firstLine="709"/>
        <w:jc w:val="both"/>
        <w:rPr>
          <w:sz w:val="22"/>
          <w:szCs w:val="22"/>
        </w:rPr>
      </w:pPr>
      <w:r w:rsidRPr="00D47A81">
        <w:rPr>
          <w:sz w:val="22"/>
          <w:szCs w:val="22"/>
        </w:rPr>
        <w:t>Лицензиат гарантирует, что программное обеспечение (лицензии), права на которые передаются Сублицензиату по настоящему Соглашению принадлежат Лицензиату на основании ____________________________, права передаются правомерно и не обременены правами третьих лиц. В случае предъявления к Сублицензиату претензий, связанных с нарушением Лицензиатом данной гарантии, Лицензиат обязуется самостоятельно урегулировать эти претензии и возместит Сублицензиату расходы, понесенные в связи предъявлением таких претензий третьими лицами не позднее 10 дней с момента получения от Лицензиата соответствующего требования.</w:t>
      </w:r>
    </w:p>
    <w:p w:rsidR="004162C7" w:rsidRPr="00D47A81" w:rsidRDefault="004162C7" w:rsidP="004162C7">
      <w:pPr>
        <w:widowControl/>
        <w:numPr>
          <w:ilvl w:val="1"/>
          <w:numId w:val="3"/>
        </w:numPr>
        <w:autoSpaceDE/>
        <w:autoSpaceDN/>
        <w:ind w:left="0" w:firstLine="720"/>
        <w:jc w:val="both"/>
        <w:rPr>
          <w:sz w:val="22"/>
          <w:szCs w:val="22"/>
        </w:rPr>
      </w:pPr>
      <w:r w:rsidRPr="00D47A81">
        <w:rPr>
          <w:sz w:val="22"/>
          <w:szCs w:val="22"/>
        </w:rPr>
        <w:lastRenderedPageBreak/>
        <w:t>Ни Сублицензиат, ни пользователи программного обеспечения не вправе без предварительного письменного согласования Лицензиата распространять экземпляры программного обеспечения или его версии любым способом, передавать его третьим лицам, за исключением случаев, предусмотренных настоящим Соглашением, вносить изменения в программное обеспечение, переделывать программное обеспечение.</w:t>
      </w:r>
    </w:p>
    <w:p w:rsidR="004162C7" w:rsidRPr="00D47A81" w:rsidRDefault="004162C7" w:rsidP="004162C7">
      <w:pPr>
        <w:widowControl/>
        <w:ind w:left="720"/>
        <w:jc w:val="both"/>
        <w:rPr>
          <w:sz w:val="22"/>
          <w:szCs w:val="22"/>
        </w:rPr>
      </w:pPr>
    </w:p>
    <w:p w:rsidR="004162C7" w:rsidRPr="00D47A81" w:rsidRDefault="004162C7" w:rsidP="004162C7">
      <w:pPr>
        <w:widowControl/>
        <w:jc w:val="both"/>
        <w:rPr>
          <w:sz w:val="22"/>
          <w:szCs w:val="22"/>
        </w:rPr>
      </w:pPr>
    </w:p>
    <w:p w:rsidR="004162C7" w:rsidRPr="00FC37A9" w:rsidRDefault="004162C7" w:rsidP="004162C7">
      <w:pPr>
        <w:widowControl/>
        <w:numPr>
          <w:ilvl w:val="0"/>
          <w:numId w:val="3"/>
        </w:numPr>
        <w:autoSpaceDE/>
        <w:autoSpaceDN/>
        <w:jc w:val="center"/>
        <w:rPr>
          <w:b/>
          <w:sz w:val="22"/>
          <w:szCs w:val="22"/>
        </w:rPr>
      </w:pPr>
      <w:r w:rsidRPr="00FC37A9">
        <w:rPr>
          <w:b/>
          <w:sz w:val="22"/>
          <w:szCs w:val="22"/>
        </w:rPr>
        <w:t>Приложения к настоящему Соглашению:</w:t>
      </w:r>
    </w:p>
    <w:p w:rsidR="004162C7" w:rsidRPr="00D47A81" w:rsidRDefault="004162C7" w:rsidP="004162C7">
      <w:pPr>
        <w:widowControl/>
        <w:jc w:val="both"/>
        <w:rPr>
          <w:sz w:val="22"/>
          <w:szCs w:val="22"/>
        </w:rPr>
      </w:pPr>
      <w:r w:rsidRPr="00D47A81">
        <w:rPr>
          <w:sz w:val="22"/>
          <w:szCs w:val="22"/>
        </w:rPr>
        <w:t>- Приложение № 1 – Спецификация передаваемых лицензий.</w:t>
      </w:r>
    </w:p>
    <w:p w:rsidR="004162C7" w:rsidRPr="00D47A81" w:rsidRDefault="004162C7" w:rsidP="004162C7">
      <w:pPr>
        <w:widowControl/>
        <w:autoSpaceDE/>
        <w:autoSpaceDN/>
        <w:rPr>
          <w:sz w:val="22"/>
          <w:szCs w:val="22"/>
        </w:rPr>
      </w:pPr>
    </w:p>
    <w:p w:rsidR="004162C7" w:rsidRPr="00D47A81" w:rsidRDefault="004162C7" w:rsidP="004162C7">
      <w:pPr>
        <w:widowControl/>
        <w:autoSpaceDE/>
        <w:autoSpaceDN/>
        <w:rPr>
          <w:b/>
          <w:sz w:val="22"/>
          <w:szCs w:val="22"/>
        </w:rPr>
      </w:pPr>
      <w:r w:rsidRPr="00D47A81">
        <w:rPr>
          <w:sz w:val="22"/>
          <w:szCs w:val="22"/>
        </w:rPr>
        <w:t xml:space="preserve"> </w:t>
      </w:r>
    </w:p>
    <w:tbl>
      <w:tblPr>
        <w:tblpPr w:leftFromText="180" w:rightFromText="180" w:vertAnchor="text" w:horzAnchor="margin" w:tblpXSpec="center" w:tblpY="117"/>
        <w:tblOverlap w:val="never"/>
        <w:tblW w:w="8926" w:type="dxa"/>
        <w:tblLayout w:type="fixed"/>
        <w:tblLook w:val="04A0" w:firstRow="1" w:lastRow="0" w:firstColumn="1" w:lastColumn="0" w:noHBand="0" w:noVBand="1"/>
      </w:tblPr>
      <w:tblGrid>
        <w:gridCol w:w="4957"/>
        <w:gridCol w:w="3969"/>
      </w:tblGrid>
      <w:tr w:rsidR="004162C7" w:rsidRPr="00D47A81" w:rsidTr="00B227C9">
        <w:tc>
          <w:tcPr>
            <w:tcW w:w="4957" w:type="dxa"/>
          </w:tcPr>
          <w:p w:rsidR="004162C7" w:rsidRPr="00D47A81" w:rsidRDefault="004162C7" w:rsidP="00B227C9">
            <w:pPr>
              <w:keepNext/>
              <w:widowControl/>
              <w:autoSpaceDE/>
              <w:autoSpaceDN/>
              <w:spacing w:line="240" w:lineRule="atLeast"/>
              <w:rPr>
                <w:b/>
                <w:sz w:val="24"/>
                <w:szCs w:val="24"/>
              </w:rPr>
            </w:pPr>
            <w:r w:rsidRPr="00D47A81">
              <w:rPr>
                <w:b/>
                <w:sz w:val="22"/>
                <w:szCs w:val="24"/>
              </w:rPr>
              <w:t>Сублицензиат:</w:t>
            </w:r>
          </w:p>
          <w:p w:rsidR="004162C7" w:rsidRPr="00D47A81" w:rsidRDefault="004162C7" w:rsidP="00B227C9">
            <w:pPr>
              <w:widowControl/>
              <w:autoSpaceDE/>
              <w:autoSpaceDN/>
              <w:jc w:val="both"/>
              <w:rPr>
                <w:sz w:val="24"/>
                <w:szCs w:val="24"/>
              </w:rPr>
            </w:pPr>
          </w:p>
        </w:tc>
        <w:tc>
          <w:tcPr>
            <w:tcW w:w="3969" w:type="dxa"/>
          </w:tcPr>
          <w:p w:rsidR="004162C7" w:rsidRPr="00D47A81" w:rsidRDefault="004162C7" w:rsidP="00B227C9">
            <w:pPr>
              <w:keepNext/>
              <w:widowControl/>
              <w:autoSpaceDE/>
              <w:autoSpaceDN/>
              <w:spacing w:line="240" w:lineRule="atLeast"/>
              <w:rPr>
                <w:b/>
                <w:sz w:val="24"/>
                <w:szCs w:val="24"/>
              </w:rPr>
            </w:pPr>
            <w:r w:rsidRPr="00D47A81">
              <w:rPr>
                <w:b/>
                <w:sz w:val="22"/>
                <w:szCs w:val="24"/>
              </w:rPr>
              <w:t>Лицензиат:</w:t>
            </w:r>
          </w:p>
          <w:p w:rsidR="004162C7" w:rsidRPr="00D47A81" w:rsidRDefault="004162C7" w:rsidP="00B227C9">
            <w:pPr>
              <w:keepNext/>
              <w:widowControl/>
              <w:autoSpaceDE/>
              <w:autoSpaceDN/>
              <w:spacing w:line="240" w:lineRule="atLeast"/>
              <w:rPr>
                <w:b/>
                <w:sz w:val="24"/>
                <w:szCs w:val="24"/>
              </w:rPr>
            </w:pPr>
          </w:p>
        </w:tc>
      </w:tr>
      <w:tr w:rsidR="004162C7" w:rsidRPr="00D47A81" w:rsidTr="00B227C9">
        <w:tc>
          <w:tcPr>
            <w:tcW w:w="4957" w:type="dxa"/>
          </w:tcPr>
          <w:p w:rsidR="004162C7" w:rsidRPr="00D47A81" w:rsidRDefault="004162C7" w:rsidP="00B227C9">
            <w:pPr>
              <w:keepNext/>
              <w:widowControl/>
              <w:autoSpaceDE/>
              <w:autoSpaceDN/>
              <w:spacing w:line="240" w:lineRule="atLeast"/>
              <w:rPr>
                <w:sz w:val="24"/>
                <w:szCs w:val="24"/>
              </w:rPr>
            </w:pPr>
            <w:r w:rsidRPr="00D47A81">
              <w:rPr>
                <w:b/>
                <w:sz w:val="22"/>
                <w:szCs w:val="24"/>
              </w:rPr>
              <w:t>___</w:t>
            </w:r>
            <w:r>
              <w:rPr>
                <w:b/>
                <w:sz w:val="22"/>
                <w:szCs w:val="24"/>
              </w:rPr>
              <w:t>___</w:t>
            </w:r>
            <w:r w:rsidRPr="00D47A81">
              <w:rPr>
                <w:b/>
                <w:sz w:val="22"/>
                <w:szCs w:val="24"/>
              </w:rPr>
              <w:t xml:space="preserve">_____/ </w:t>
            </w:r>
            <w:r w:rsidR="007D355A">
              <w:rPr>
                <w:sz w:val="22"/>
                <w:szCs w:val="24"/>
              </w:rPr>
              <w:t>Кодин А. В.</w:t>
            </w:r>
            <w:r w:rsidRPr="00D47A81">
              <w:rPr>
                <w:sz w:val="22"/>
                <w:szCs w:val="24"/>
              </w:rPr>
              <w:t xml:space="preserve"> /</w:t>
            </w:r>
          </w:p>
          <w:p w:rsidR="004162C7" w:rsidRPr="00D47A81" w:rsidRDefault="004162C7" w:rsidP="00B227C9">
            <w:pPr>
              <w:keepNext/>
              <w:widowControl/>
              <w:autoSpaceDE/>
              <w:autoSpaceDN/>
              <w:spacing w:line="240" w:lineRule="atLeast"/>
              <w:rPr>
                <w:sz w:val="24"/>
                <w:szCs w:val="24"/>
              </w:rPr>
            </w:pPr>
            <w:r w:rsidRPr="00D47A81">
              <w:rPr>
                <w:sz w:val="22"/>
                <w:szCs w:val="24"/>
              </w:rPr>
              <w:t>М.П.</w:t>
            </w:r>
          </w:p>
          <w:p w:rsidR="004162C7" w:rsidRPr="00D47A81" w:rsidRDefault="004162C7" w:rsidP="00B227C9">
            <w:pPr>
              <w:keepNext/>
              <w:widowControl/>
              <w:autoSpaceDE/>
              <w:autoSpaceDN/>
              <w:spacing w:line="240" w:lineRule="atLeast"/>
              <w:rPr>
                <w:b/>
                <w:sz w:val="24"/>
                <w:szCs w:val="24"/>
              </w:rPr>
            </w:pPr>
          </w:p>
          <w:p w:rsidR="004162C7" w:rsidRPr="00D47A81" w:rsidRDefault="004162C7" w:rsidP="00B227C9">
            <w:pPr>
              <w:keepNext/>
              <w:widowControl/>
              <w:autoSpaceDE/>
              <w:autoSpaceDN/>
              <w:spacing w:line="240" w:lineRule="atLeast"/>
              <w:rPr>
                <w:sz w:val="24"/>
                <w:szCs w:val="24"/>
              </w:rPr>
            </w:pPr>
          </w:p>
        </w:tc>
        <w:tc>
          <w:tcPr>
            <w:tcW w:w="3969" w:type="dxa"/>
          </w:tcPr>
          <w:p w:rsidR="004162C7" w:rsidRPr="00D47A81" w:rsidRDefault="004162C7" w:rsidP="00B227C9">
            <w:pPr>
              <w:keepNext/>
              <w:widowControl/>
              <w:autoSpaceDE/>
              <w:autoSpaceDN/>
              <w:spacing w:line="240" w:lineRule="atLeast"/>
              <w:rPr>
                <w:b/>
                <w:sz w:val="24"/>
                <w:szCs w:val="24"/>
              </w:rPr>
            </w:pPr>
            <w:r w:rsidRPr="00D47A81">
              <w:rPr>
                <w:b/>
                <w:sz w:val="22"/>
                <w:szCs w:val="24"/>
              </w:rPr>
              <w:t>_____________/_______________/</w:t>
            </w:r>
          </w:p>
          <w:p w:rsidR="004162C7" w:rsidRPr="00D47A81" w:rsidRDefault="004162C7" w:rsidP="00B227C9">
            <w:pPr>
              <w:keepNext/>
              <w:widowControl/>
              <w:autoSpaceDE/>
              <w:autoSpaceDN/>
              <w:spacing w:line="240" w:lineRule="atLeast"/>
              <w:rPr>
                <w:b/>
                <w:sz w:val="24"/>
                <w:szCs w:val="24"/>
              </w:rPr>
            </w:pPr>
            <w:r w:rsidRPr="00D47A81">
              <w:rPr>
                <w:sz w:val="22"/>
                <w:szCs w:val="24"/>
              </w:rPr>
              <w:t>М.П.</w:t>
            </w:r>
          </w:p>
        </w:tc>
      </w:tr>
    </w:tbl>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4162C7" w:rsidRPr="007D355A" w:rsidRDefault="004162C7" w:rsidP="004162C7">
      <w:pPr>
        <w:widowControl/>
        <w:spacing w:before="120"/>
        <w:ind w:firstLine="720"/>
        <w:jc w:val="right"/>
        <w:rPr>
          <w:sz w:val="22"/>
          <w:szCs w:val="22"/>
        </w:rPr>
      </w:pPr>
    </w:p>
    <w:p w:rsidR="00D856C3" w:rsidRDefault="00D856C3" w:rsidP="004162C7">
      <w:pPr>
        <w:widowControl/>
        <w:spacing w:before="120"/>
        <w:ind w:firstLine="720"/>
        <w:jc w:val="right"/>
        <w:rPr>
          <w:sz w:val="22"/>
          <w:szCs w:val="22"/>
        </w:rPr>
      </w:pPr>
    </w:p>
    <w:p w:rsidR="004162C7" w:rsidRPr="00D47A81" w:rsidRDefault="004162C7" w:rsidP="004162C7">
      <w:pPr>
        <w:widowControl/>
        <w:spacing w:before="120"/>
        <w:ind w:firstLine="720"/>
        <w:jc w:val="right"/>
        <w:rPr>
          <w:sz w:val="22"/>
          <w:szCs w:val="22"/>
        </w:rPr>
      </w:pPr>
      <w:r w:rsidRPr="00D47A81">
        <w:rPr>
          <w:sz w:val="22"/>
          <w:szCs w:val="22"/>
        </w:rPr>
        <w:t>Приложение № 1</w:t>
      </w:r>
    </w:p>
    <w:p w:rsidR="004162C7" w:rsidRPr="00D47A81" w:rsidRDefault="004162C7" w:rsidP="004162C7">
      <w:pPr>
        <w:widowControl/>
        <w:autoSpaceDE/>
        <w:autoSpaceDN/>
        <w:jc w:val="right"/>
        <w:rPr>
          <w:sz w:val="22"/>
          <w:szCs w:val="22"/>
        </w:rPr>
      </w:pPr>
      <w:r w:rsidRPr="00D47A81">
        <w:rPr>
          <w:sz w:val="22"/>
          <w:szCs w:val="22"/>
        </w:rPr>
        <w:t>к Сублицензионному соглашению</w:t>
      </w:r>
    </w:p>
    <w:p w:rsidR="004162C7" w:rsidRPr="00D47A81" w:rsidRDefault="004162C7" w:rsidP="004162C7">
      <w:pPr>
        <w:widowControl/>
        <w:autoSpaceDE/>
        <w:autoSpaceDN/>
        <w:jc w:val="right"/>
        <w:rPr>
          <w:b/>
          <w:bCs/>
          <w:sz w:val="22"/>
          <w:szCs w:val="24"/>
        </w:rPr>
      </w:pPr>
    </w:p>
    <w:p w:rsidR="004162C7" w:rsidRPr="00D47A81" w:rsidRDefault="004162C7" w:rsidP="004162C7">
      <w:pPr>
        <w:widowControl/>
        <w:tabs>
          <w:tab w:val="num" w:pos="-180"/>
        </w:tabs>
        <w:autoSpaceDE/>
        <w:autoSpaceDN/>
        <w:ind w:right="-6"/>
        <w:jc w:val="center"/>
        <w:rPr>
          <w:b/>
          <w:bCs/>
          <w:sz w:val="24"/>
          <w:szCs w:val="24"/>
        </w:rPr>
      </w:pPr>
      <w:r w:rsidRPr="00D47A81">
        <w:rPr>
          <w:b/>
          <w:bCs/>
          <w:sz w:val="22"/>
          <w:szCs w:val="24"/>
        </w:rPr>
        <w:t>СПЕЦИФИКАЦИЯ</w:t>
      </w:r>
    </w:p>
    <w:p w:rsidR="004162C7" w:rsidRPr="00D47A81" w:rsidRDefault="004162C7" w:rsidP="004162C7">
      <w:pPr>
        <w:widowControl/>
        <w:tabs>
          <w:tab w:val="num" w:pos="-180"/>
        </w:tabs>
        <w:autoSpaceDE/>
        <w:autoSpaceDN/>
        <w:ind w:right="-6"/>
        <w:jc w:val="center"/>
        <w:rPr>
          <w:b/>
          <w:sz w:val="24"/>
          <w:szCs w:val="24"/>
        </w:rPr>
      </w:pPr>
      <w:r w:rsidRPr="00D47A81">
        <w:rPr>
          <w:b/>
          <w:bCs/>
          <w:sz w:val="22"/>
          <w:szCs w:val="24"/>
        </w:rPr>
        <w:t>передаваемых лицензий</w:t>
      </w:r>
    </w:p>
    <w:p w:rsidR="004162C7" w:rsidRPr="00D47A81" w:rsidRDefault="004162C7" w:rsidP="004162C7">
      <w:pPr>
        <w:widowControl/>
        <w:tabs>
          <w:tab w:val="num" w:pos="-180"/>
        </w:tabs>
        <w:autoSpaceDE/>
        <w:autoSpaceDN/>
        <w:ind w:right="-6"/>
        <w:jc w:val="both"/>
        <w:rPr>
          <w:b/>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7"/>
        <w:gridCol w:w="1826"/>
        <w:gridCol w:w="1673"/>
        <w:gridCol w:w="708"/>
        <w:gridCol w:w="596"/>
        <w:gridCol w:w="1418"/>
        <w:gridCol w:w="1417"/>
        <w:gridCol w:w="1701"/>
      </w:tblGrid>
      <w:tr w:rsidR="004162C7" w:rsidRPr="00D47A81" w:rsidTr="00B227C9">
        <w:tc>
          <w:tcPr>
            <w:tcW w:w="437" w:type="dxa"/>
            <w:shd w:val="clear" w:color="auto" w:fill="auto"/>
          </w:tcPr>
          <w:p w:rsidR="004162C7" w:rsidRPr="00D47A81" w:rsidRDefault="004162C7" w:rsidP="00B227C9">
            <w:pPr>
              <w:keepNext/>
              <w:widowControl/>
              <w:autoSpaceDE/>
              <w:autoSpaceDN/>
              <w:ind w:left="-52" w:right="-60"/>
              <w:rPr>
                <w:rFonts w:eastAsia="Calibri"/>
                <w:b/>
                <w:color w:val="000000"/>
                <w:szCs w:val="22"/>
              </w:rPr>
            </w:pPr>
            <w:r w:rsidRPr="00D47A81">
              <w:rPr>
                <w:rFonts w:eastAsia="Calibri"/>
                <w:b/>
                <w:color w:val="000000"/>
                <w:szCs w:val="22"/>
              </w:rPr>
              <w:t>№ п/п</w:t>
            </w:r>
          </w:p>
        </w:tc>
        <w:tc>
          <w:tcPr>
            <w:tcW w:w="1826" w:type="dxa"/>
            <w:shd w:val="clear" w:color="auto" w:fill="auto"/>
            <w:vAlign w:val="center"/>
          </w:tcPr>
          <w:p w:rsidR="004162C7" w:rsidRPr="00D47A81" w:rsidRDefault="004162C7" w:rsidP="00B227C9">
            <w:pPr>
              <w:keepNext/>
              <w:widowControl/>
              <w:autoSpaceDE/>
              <w:autoSpaceDN/>
              <w:ind w:left="-52" w:right="-60"/>
              <w:jc w:val="center"/>
              <w:rPr>
                <w:rFonts w:eastAsia="Calibri"/>
                <w:b/>
                <w:color w:val="000000"/>
                <w:szCs w:val="22"/>
              </w:rPr>
            </w:pPr>
            <w:r w:rsidRPr="00D47A81">
              <w:rPr>
                <w:rFonts w:eastAsia="Calibri"/>
                <w:b/>
                <w:color w:val="000000"/>
                <w:szCs w:val="22"/>
              </w:rPr>
              <w:t>Наименование</w:t>
            </w:r>
          </w:p>
        </w:tc>
        <w:tc>
          <w:tcPr>
            <w:tcW w:w="1673" w:type="dxa"/>
            <w:shd w:val="clear" w:color="auto" w:fill="auto"/>
          </w:tcPr>
          <w:p w:rsidR="004162C7" w:rsidRPr="00D47A81" w:rsidRDefault="004162C7" w:rsidP="00B227C9">
            <w:pPr>
              <w:widowControl/>
              <w:autoSpaceDE/>
              <w:autoSpaceDN/>
              <w:jc w:val="center"/>
              <w:rPr>
                <w:rFonts w:eastAsia="Calibri"/>
                <w:b/>
                <w:bCs/>
                <w:szCs w:val="22"/>
              </w:rPr>
            </w:pPr>
            <w:r w:rsidRPr="00D47A81">
              <w:rPr>
                <w:rFonts w:eastAsia="Calibri"/>
                <w:b/>
                <w:bCs/>
                <w:szCs w:val="22"/>
              </w:rPr>
              <w:t xml:space="preserve">Номер </w:t>
            </w:r>
            <w:r>
              <w:rPr>
                <w:rFonts w:eastAsia="Calibri"/>
                <w:b/>
                <w:bCs/>
                <w:szCs w:val="22"/>
              </w:rPr>
              <w:t xml:space="preserve">(артикул) </w:t>
            </w:r>
            <w:r w:rsidRPr="00D47A81">
              <w:rPr>
                <w:rFonts w:eastAsia="Calibri"/>
                <w:b/>
                <w:bCs/>
                <w:szCs w:val="22"/>
              </w:rPr>
              <w:t>производителя</w:t>
            </w:r>
          </w:p>
        </w:tc>
        <w:tc>
          <w:tcPr>
            <w:tcW w:w="708" w:type="dxa"/>
            <w:shd w:val="clear" w:color="auto" w:fill="auto"/>
            <w:vAlign w:val="center"/>
          </w:tcPr>
          <w:p w:rsidR="004162C7" w:rsidRPr="00D47A81" w:rsidRDefault="004162C7" w:rsidP="00B227C9">
            <w:pPr>
              <w:widowControl/>
              <w:autoSpaceDE/>
              <w:autoSpaceDN/>
              <w:jc w:val="center"/>
              <w:rPr>
                <w:rFonts w:eastAsia="Calibri"/>
                <w:b/>
                <w:bCs/>
                <w:szCs w:val="22"/>
              </w:rPr>
            </w:pPr>
            <w:r w:rsidRPr="00D47A81">
              <w:rPr>
                <w:rFonts w:eastAsia="Calibri"/>
                <w:b/>
                <w:bCs/>
                <w:szCs w:val="22"/>
              </w:rPr>
              <w:t>Ед. изм.</w:t>
            </w:r>
          </w:p>
        </w:tc>
        <w:tc>
          <w:tcPr>
            <w:tcW w:w="596" w:type="dxa"/>
            <w:shd w:val="clear" w:color="auto" w:fill="auto"/>
            <w:vAlign w:val="center"/>
          </w:tcPr>
          <w:p w:rsidR="004162C7" w:rsidRPr="00D47A81" w:rsidRDefault="004162C7" w:rsidP="00B227C9">
            <w:pPr>
              <w:widowControl/>
              <w:autoSpaceDE/>
              <w:autoSpaceDN/>
              <w:jc w:val="center"/>
              <w:rPr>
                <w:rFonts w:eastAsia="Calibri"/>
                <w:b/>
                <w:bCs/>
                <w:szCs w:val="22"/>
              </w:rPr>
            </w:pPr>
            <w:r w:rsidRPr="00D47A81">
              <w:rPr>
                <w:rFonts w:eastAsia="Calibri"/>
                <w:b/>
                <w:bCs/>
                <w:szCs w:val="22"/>
              </w:rPr>
              <w:t>Кол-во, ед.</w:t>
            </w:r>
          </w:p>
        </w:tc>
        <w:tc>
          <w:tcPr>
            <w:tcW w:w="1418" w:type="dxa"/>
            <w:shd w:val="clear" w:color="auto" w:fill="auto"/>
            <w:vAlign w:val="center"/>
          </w:tcPr>
          <w:p w:rsidR="004162C7" w:rsidRPr="00D47A81" w:rsidRDefault="004162C7" w:rsidP="00B227C9">
            <w:pPr>
              <w:widowControl/>
              <w:autoSpaceDE/>
              <w:autoSpaceDN/>
              <w:jc w:val="center"/>
              <w:rPr>
                <w:rFonts w:eastAsia="Calibri"/>
                <w:b/>
                <w:bCs/>
                <w:szCs w:val="22"/>
              </w:rPr>
            </w:pPr>
            <w:r w:rsidRPr="00D47A81">
              <w:rPr>
                <w:rFonts w:eastAsia="Calibri"/>
                <w:b/>
                <w:bCs/>
                <w:szCs w:val="22"/>
              </w:rPr>
              <w:t>Цена, руб.</w:t>
            </w:r>
          </w:p>
        </w:tc>
        <w:tc>
          <w:tcPr>
            <w:tcW w:w="1417" w:type="dxa"/>
            <w:shd w:val="clear" w:color="auto" w:fill="auto"/>
            <w:vAlign w:val="center"/>
          </w:tcPr>
          <w:p w:rsidR="004162C7" w:rsidRPr="00D47A81" w:rsidRDefault="004162C7" w:rsidP="00B227C9">
            <w:pPr>
              <w:widowControl/>
              <w:autoSpaceDE/>
              <w:autoSpaceDN/>
              <w:jc w:val="center"/>
              <w:rPr>
                <w:rFonts w:eastAsia="Calibri"/>
                <w:b/>
                <w:bCs/>
                <w:szCs w:val="22"/>
              </w:rPr>
            </w:pPr>
            <w:r w:rsidRPr="00D47A81">
              <w:rPr>
                <w:rFonts w:eastAsia="Calibri"/>
                <w:b/>
                <w:bCs/>
                <w:szCs w:val="22"/>
              </w:rPr>
              <w:t>Общая стоимость, руб.</w:t>
            </w:r>
          </w:p>
        </w:tc>
        <w:tc>
          <w:tcPr>
            <w:tcW w:w="1701" w:type="dxa"/>
            <w:shd w:val="clear" w:color="auto" w:fill="auto"/>
            <w:vAlign w:val="center"/>
          </w:tcPr>
          <w:p w:rsidR="004162C7" w:rsidRPr="00D47A81" w:rsidRDefault="004162C7" w:rsidP="00B227C9">
            <w:pPr>
              <w:widowControl/>
              <w:autoSpaceDE/>
              <w:autoSpaceDN/>
              <w:ind w:right="-108"/>
              <w:jc w:val="center"/>
              <w:rPr>
                <w:rFonts w:eastAsia="Calibri"/>
                <w:b/>
                <w:bCs/>
                <w:szCs w:val="22"/>
              </w:rPr>
            </w:pPr>
            <w:r w:rsidRPr="00D47A81">
              <w:rPr>
                <w:rFonts w:eastAsia="Calibri"/>
                <w:b/>
                <w:bCs/>
                <w:szCs w:val="22"/>
              </w:rPr>
              <w:t>Срок действия лицензий</w:t>
            </w:r>
          </w:p>
        </w:tc>
      </w:tr>
      <w:tr w:rsidR="00706E76" w:rsidRPr="00D47A81" w:rsidTr="002502CE">
        <w:tc>
          <w:tcPr>
            <w:tcW w:w="437" w:type="dxa"/>
            <w:shd w:val="clear" w:color="auto" w:fill="auto"/>
          </w:tcPr>
          <w:p w:rsidR="00706E76" w:rsidRPr="00706E76" w:rsidRDefault="00706E76" w:rsidP="00B227C9">
            <w:pPr>
              <w:keepNext/>
              <w:widowControl/>
              <w:autoSpaceDE/>
              <w:autoSpaceDN/>
              <w:spacing w:before="40" w:after="40"/>
              <w:ind w:left="-52" w:right="-60"/>
              <w:rPr>
                <w:rFonts w:eastAsia="Calibri"/>
                <w:color w:val="000000"/>
                <w:szCs w:val="22"/>
                <w:lang w:val="en-US"/>
              </w:rPr>
            </w:pPr>
            <w:r>
              <w:rPr>
                <w:rFonts w:eastAsia="Calibri"/>
                <w:color w:val="000000"/>
                <w:szCs w:val="22"/>
                <w:lang w:val="en-US"/>
              </w:rPr>
              <w:t>1</w:t>
            </w:r>
          </w:p>
        </w:tc>
        <w:tc>
          <w:tcPr>
            <w:tcW w:w="1826" w:type="dxa"/>
            <w:shd w:val="clear" w:color="auto" w:fill="auto"/>
            <w:vAlign w:val="center"/>
          </w:tcPr>
          <w:p w:rsidR="00706E76" w:rsidRPr="009C0E7E" w:rsidRDefault="00706E76" w:rsidP="00AD0BF0">
            <w:pPr>
              <w:rPr>
                <w:bCs/>
                <w:sz w:val="18"/>
                <w:szCs w:val="18"/>
                <w:lang w:val="en-US"/>
              </w:rPr>
            </w:pPr>
            <w:r w:rsidRPr="009C0E7E">
              <w:rPr>
                <w:bCs/>
                <w:sz w:val="18"/>
                <w:szCs w:val="18"/>
              </w:rPr>
              <w:t>Лицензия</w:t>
            </w:r>
            <w:r w:rsidRPr="009C0E7E">
              <w:rPr>
                <w:bCs/>
                <w:sz w:val="18"/>
                <w:szCs w:val="18"/>
                <w:lang w:val="en-US"/>
              </w:rPr>
              <w:t xml:space="preserve"> BE6000 Starter Bundle with 35 UCL Enh and 35 vmail Licenses</w:t>
            </w:r>
          </w:p>
        </w:tc>
        <w:tc>
          <w:tcPr>
            <w:tcW w:w="1673" w:type="dxa"/>
            <w:shd w:val="clear" w:color="auto" w:fill="auto"/>
            <w:vAlign w:val="center"/>
          </w:tcPr>
          <w:p w:rsidR="00706E76" w:rsidRPr="009C0E7E" w:rsidRDefault="00706E76" w:rsidP="00AD0BF0">
            <w:pPr>
              <w:widowControl/>
              <w:autoSpaceDE/>
              <w:autoSpaceDN/>
              <w:jc w:val="center"/>
              <w:rPr>
                <w:sz w:val="18"/>
                <w:szCs w:val="18"/>
              </w:rPr>
            </w:pPr>
            <w:r w:rsidRPr="009C0E7E">
              <w:rPr>
                <w:sz w:val="18"/>
                <w:szCs w:val="18"/>
              </w:rPr>
              <w:t>BE6K-START-UCL35</w:t>
            </w:r>
          </w:p>
        </w:tc>
        <w:tc>
          <w:tcPr>
            <w:tcW w:w="708" w:type="dxa"/>
            <w:shd w:val="clear" w:color="auto" w:fill="auto"/>
            <w:vAlign w:val="center"/>
          </w:tcPr>
          <w:p w:rsidR="00706E76" w:rsidRPr="009C0E7E" w:rsidRDefault="00706E76" w:rsidP="00AD0BF0">
            <w:pPr>
              <w:widowControl/>
              <w:autoSpaceDE/>
              <w:autoSpaceDN/>
              <w:jc w:val="center"/>
              <w:rPr>
                <w:rFonts w:eastAsia="Calibri"/>
                <w:bCs/>
                <w:sz w:val="18"/>
                <w:szCs w:val="18"/>
              </w:rPr>
            </w:pPr>
            <w:r w:rsidRPr="009C0E7E">
              <w:rPr>
                <w:rFonts w:eastAsia="Calibri"/>
                <w:bCs/>
                <w:sz w:val="18"/>
                <w:szCs w:val="18"/>
              </w:rPr>
              <w:t>шт</w:t>
            </w:r>
          </w:p>
        </w:tc>
        <w:tc>
          <w:tcPr>
            <w:tcW w:w="596" w:type="dxa"/>
            <w:shd w:val="clear" w:color="auto" w:fill="auto"/>
            <w:vAlign w:val="center"/>
          </w:tcPr>
          <w:p w:rsidR="00706E76" w:rsidRPr="009C0E7E" w:rsidRDefault="00706E76" w:rsidP="00AD0BF0">
            <w:pPr>
              <w:widowControl/>
              <w:autoSpaceDE/>
              <w:autoSpaceDN/>
              <w:jc w:val="center"/>
              <w:rPr>
                <w:bCs/>
                <w:sz w:val="18"/>
                <w:szCs w:val="18"/>
              </w:rPr>
            </w:pPr>
            <w:r w:rsidRPr="009C0E7E">
              <w:rPr>
                <w:bCs/>
                <w:sz w:val="18"/>
                <w:szCs w:val="18"/>
              </w:rPr>
              <w:t>1</w:t>
            </w:r>
          </w:p>
        </w:tc>
        <w:tc>
          <w:tcPr>
            <w:tcW w:w="1418" w:type="dxa"/>
            <w:shd w:val="clear" w:color="auto" w:fill="auto"/>
            <w:vAlign w:val="center"/>
          </w:tcPr>
          <w:p w:rsidR="00706E76" w:rsidRPr="00D47A81" w:rsidRDefault="00706E76" w:rsidP="00B227C9">
            <w:pPr>
              <w:widowControl/>
              <w:autoSpaceDE/>
              <w:autoSpaceDN/>
              <w:jc w:val="center"/>
              <w:rPr>
                <w:rFonts w:eastAsia="Calibri"/>
                <w:b/>
                <w:bCs/>
                <w:szCs w:val="22"/>
              </w:rPr>
            </w:pPr>
          </w:p>
        </w:tc>
        <w:tc>
          <w:tcPr>
            <w:tcW w:w="1417" w:type="dxa"/>
            <w:shd w:val="clear" w:color="auto" w:fill="auto"/>
            <w:vAlign w:val="center"/>
          </w:tcPr>
          <w:p w:rsidR="00706E76" w:rsidRPr="00D47A81" w:rsidRDefault="00706E76" w:rsidP="00B227C9">
            <w:pPr>
              <w:widowControl/>
              <w:autoSpaceDE/>
              <w:autoSpaceDN/>
              <w:jc w:val="center"/>
              <w:rPr>
                <w:rFonts w:eastAsia="Calibri"/>
                <w:b/>
                <w:bCs/>
                <w:szCs w:val="22"/>
              </w:rPr>
            </w:pPr>
          </w:p>
        </w:tc>
        <w:tc>
          <w:tcPr>
            <w:tcW w:w="1701" w:type="dxa"/>
            <w:shd w:val="clear" w:color="auto" w:fill="auto"/>
            <w:vAlign w:val="center"/>
          </w:tcPr>
          <w:p w:rsidR="00706E76" w:rsidRPr="00706E76" w:rsidRDefault="00706E76" w:rsidP="00B227C9">
            <w:pPr>
              <w:widowControl/>
              <w:autoSpaceDE/>
              <w:autoSpaceDN/>
              <w:jc w:val="center"/>
              <w:rPr>
                <w:rFonts w:eastAsia="Calibri"/>
                <w:color w:val="000000"/>
                <w:sz w:val="18"/>
              </w:rPr>
            </w:pPr>
            <w:r>
              <w:rPr>
                <w:rFonts w:eastAsia="Calibri"/>
                <w:color w:val="000000"/>
                <w:sz w:val="18"/>
              </w:rPr>
              <w:t>бессрочная</w:t>
            </w:r>
          </w:p>
        </w:tc>
      </w:tr>
      <w:tr w:rsidR="00706E76" w:rsidRPr="00D47A81" w:rsidTr="002502CE">
        <w:tc>
          <w:tcPr>
            <w:tcW w:w="437" w:type="dxa"/>
            <w:shd w:val="clear" w:color="auto" w:fill="auto"/>
          </w:tcPr>
          <w:p w:rsidR="00706E76" w:rsidRPr="00706E76" w:rsidRDefault="00706E76" w:rsidP="00B227C9">
            <w:pPr>
              <w:keepNext/>
              <w:widowControl/>
              <w:autoSpaceDE/>
              <w:autoSpaceDN/>
              <w:spacing w:before="40" w:after="40"/>
              <w:ind w:left="-52" w:right="-60"/>
              <w:rPr>
                <w:rFonts w:ascii="Calibri" w:eastAsia="Calibri" w:hAnsi="Calibri"/>
                <w:color w:val="000000"/>
                <w:szCs w:val="22"/>
                <w:lang w:val="en-US"/>
              </w:rPr>
            </w:pPr>
            <w:r>
              <w:rPr>
                <w:rFonts w:ascii="Calibri" w:eastAsia="Calibri" w:hAnsi="Calibri"/>
                <w:color w:val="000000"/>
                <w:szCs w:val="22"/>
                <w:lang w:val="en-US"/>
              </w:rPr>
              <w:t>2</w:t>
            </w:r>
          </w:p>
        </w:tc>
        <w:tc>
          <w:tcPr>
            <w:tcW w:w="1826" w:type="dxa"/>
            <w:shd w:val="clear" w:color="auto" w:fill="auto"/>
            <w:vAlign w:val="center"/>
          </w:tcPr>
          <w:p w:rsidR="00706E76" w:rsidRPr="009C0E7E" w:rsidRDefault="00706E76" w:rsidP="00AD0BF0">
            <w:pPr>
              <w:rPr>
                <w:bCs/>
                <w:sz w:val="18"/>
                <w:szCs w:val="18"/>
                <w:lang w:val="en-US"/>
              </w:rPr>
            </w:pPr>
            <w:r w:rsidRPr="009C0E7E">
              <w:rPr>
                <w:bCs/>
                <w:sz w:val="18"/>
                <w:szCs w:val="18"/>
              </w:rPr>
              <w:t>Лицензия</w:t>
            </w:r>
            <w:r w:rsidRPr="009C0E7E">
              <w:rPr>
                <w:bCs/>
                <w:sz w:val="18"/>
                <w:szCs w:val="18"/>
                <w:lang w:val="en-US"/>
              </w:rPr>
              <w:t xml:space="preserve"> Cisco Business Edition 6000 - Essential User Connect License</w:t>
            </w:r>
          </w:p>
        </w:tc>
        <w:tc>
          <w:tcPr>
            <w:tcW w:w="1673" w:type="dxa"/>
            <w:shd w:val="clear" w:color="auto" w:fill="auto"/>
            <w:vAlign w:val="center"/>
          </w:tcPr>
          <w:p w:rsidR="00706E76" w:rsidRPr="009C0E7E" w:rsidRDefault="00706E76" w:rsidP="00AD0BF0">
            <w:pPr>
              <w:jc w:val="center"/>
              <w:rPr>
                <w:sz w:val="18"/>
                <w:szCs w:val="18"/>
              </w:rPr>
            </w:pPr>
            <w:r w:rsidRPr="009C0E7E">
              <w:rPr>
                <w:sz w:val="18"/>
                <w:szCs w:val="18"/>
              </w:rPr>
              <w:t>BE6K-UCL-ESS</w:t>
            </w:r>
          </w:p>
        </w:tc>
        <w:tc>
          <w:tcPr>
            <w:tcW w:w="708" w:type="dxa"/>
            <w:shd w:val="clear" w:color="auto" w:fill="auto"/>
          </w:tcPr>
          <w:p w:rsidR="00706E76" w:rsidRPr="009C0E7E" w:rsidRDefault="00706E76" w:rsidP="00AD0BF0">
            <w:pPr>
              <w:jc w:val="center"/>
              <w:rPr>
                <w:sz w:val="18"/>
                <w:szCs w:val="18"/>
              </w:rPr>
            </w:pPr>
            <w:r w:rsidRPr="009C0E7E">
              <w:rPr>
                <w:rFonts w:eastAsia="Calibri"/>
                <w:bCs/>
                <w:sz w:val="18"/>
                <w:szCs w:val="18"/>
              </w:rPr>
              <w:t>шт</w:t>
            </w:r>
          </w:p>
        </w:tc>
        <w:tc>
          <w:tcPr>
            <w:tcW w:w="596" w:type="dxa"/>
            <w:shd w:val="clear" w:color="auto" w:fill="auto"/>
            <w:vAlign w:val="center"/>
          </w:tcPr>
          <w:p w:rsidR="00706E76" w:rsidRPr="009C0E7E" w:rsidRDefault="00706E76" w:rsidP="00AD0BF0">
            <w:pPr>
              <w:jc w:val="center"/>
              <w:rPr>
                <w:bCs/>
                <w:sz w:val="18"/>
                <w:szCs w:val="18"/>
              </w:rPr>
            </w:pPr>
            <w:r w:rsidRPr="009C0E7E">
              <w:rPr>
                <w:bCs/>
                <w:sz w:val="18"/>
                <w:szCs w:val="18"/>
              </w:rPr>
              <w:t>48</w:t>
            </w:r>
          </w:p>
        </w:tc>
        <w:tc>
          <w:tcPr>
            <w:tcW w:w="1418" w:type="dxa"/>
            <w:shd w:val="clear" w:color="auto" w:fill="auto"/>
            <w:vAlign w:val="center"/>
          </w:tcPr>
          <w:p w:rsidR="00706E76" w:rsidRPr="00D47A81" w:rsidRDefault="00706E76" w:rsidP="00B227C9">
            <w:pPr>
              <w:widowControl/>
              <w:autoSpaceDE/>
              <w:autoSpaceDN/>
              <w:jc w:val="center"/>
              <w:rPr>
                <w:rFonts w:eastAsia="Calibri"/>
                <w:b/>
                <w:bCs/>
                <w:szCs w:val="22"/>
              </w:rPr>
            </w:pPr>
          </w:p>
        </w:tc>
        <w:tc>
          <w:tcPr>
            <w:tcW w:w="1417" w:type="dxa"/>
            <w:shd w:val="clear" w:color="auto" w:fill="auto"/>
            <w:vAlign w:val="center"/>
          </w:tcPr>
          <w:p w:rsidR="00706E76" w:rsidRPr="00D47A81" w:rsidRDefault="00706E76" w:rsidP="00B227C9">
            <w:pPr>
              <w:widowControl/>
              <w:autoSpaceDE/>
              <w:autoSpaceDN/>
              <w:jc w:val="center"/>
              <w:rPr>
                <w:rFonts w:eastAsia="Calibri"/>
                <w:b/>
                <w:bCs/>
                <w:szCs w:val="22"/>
              </w:rPr>
            </w:pPr>
          </w:p>
        </w:tc>
        <w:tc>
          <w:tcPr>
            <w:tcW w:w="1701" w:type="dxa"/>
            <w:shd w:val="clear" w:color="auto" w:fill="auto"/>
            <w:vAlign w:val="center"/>
          </w:tcPr>
          <w:p w:rsidR="00706E76" w:rsidRPr="00D47A81" w:rsidRDefault="00706E76" w:rsidP="00B227C9">
            <w:pPr>
              <w:widowControl/>
              <w:autoSpaceDE/>
              <w:autoSpaceDN/>
              <w:jc w:val="center"/>
              <w:rPr>
                <w:color w:val="000000"/>
                <w:sz w:val="18"/>
              </w:rPr>
            </w:pPr>
            <w:r>
              <w:rPr>
                <w:rFonts w:eastAsia="Calibri"/>
                <w:color w:val="000000"/>
                <w:sz w:val="18"/>
              </w:rPr>
              <w:t>бессрочная</w:t>
            </w:r>
          </w:p>
        </w:tc>
      </w:tr>
      <w:tr w:rsidR="00706E76" w:rsidRPr="00D47A81" w:rsidTr="002502CE">
        <w:tc>
          <w:tcPr>
            <w:tcW w:w="437" w:type="dxa"/>
            <w:shd w:val="clear" w:color="auto" w:fill="auto"/>
          </w:tcPr>
          <w:p w:rsidR="00706E76" w:rsidRPr="00706E76" w:rsidRDefault="00706E76" w:rsidP="00B227C9">
            <w:pPr>
              <w:keepNext/>
              <w:widowControl/>
              <w:autoSpaceDE/>
              <w:autoSpaceDN/>
              <w:spacing w:before="40" w:after="40"/>
              <w:ind w:left="-52" w:right="-60"/>
              <w:rPr>
                <w:rFonts w:ascii="Calibri" w:eastAsia="Calibri" w:hAnsi="Calibri"/>
                <w:color w:val="000000"/>
                <w:szCs w:val="22"/>
                <w:lang w:val="en-US"/>
              </w:rPr>
            </w:pPr>
            <w:r>
              <w:rPr>
                <w:rFonts w:ascii="Calibri" w:eastAsia="Calibri" w:hAnsi="Calibri"/>
                <w:color w:val="000000"/>
                <w:szCs w:val="22"/>
                <w:lang w:val="en-US"/>
              </w:rPr>
              <w:t>3</w:t>
            </w:r>
          </w:p>
        </w:tc>
        <w:tc>
          <w:tcPr>
            <w:tcW w:w="1826" w:type="dxa"/>
            <w:shd w:val="clear" w:color="auto" w:fill="auto"/>
            <w:vAlign w:val="center"/>
          </w:tcPr>
          <w:p w:rsidR="00706E76" w:rsidRPr="009C0E7E" w:rsidRDefault="00706E76" w:rsidP="00AD0BF0">
            <w:pPr>
              <w:rPr>
                <w:bCs/>
                <w:sz w:val="18"/>
                <w:szCs w:val="18"/>
                <w:lang w:val="en-US"/>
              </w:rPr>
            </w:pPr>
            <w:r w:rsidRPr="009C0E7E">
              <w:rPr>
                <w:bCs/>
                <w:sz w:val="18"/>
                <w:szCs w:val="18"/>
              </w:rPr>
              <w:t>Лицензия</w:t>
            </w:r>
            <w:r w:rsidRPr="009C0E7E">
              <w:rPr>
                <w:bCs/>
                <w:sz w:val="18"/>
                <w:szCs w:val="18"/>
                <w:lang w:val="en-US"/>
              </w:rPr>
              <w:t xml:space="preserve"> Cisco Business Edition 6000 - Basic User Connect License</w:t>
            </w:r>
          </w:p>
        </w:tc>
        <w:tc>
          <w:tcPr>
            <w:tcW w:w="1673" w:type="dxa"/>
            <w:shd w:val="clear" w:color="auto" w:fill="auto"/>
            <w:vAlign w:val="center"/>
          </w:tcPr>
          <w:p w:rsidR="00706E76" w:rsidRPr="009C0E7E" w:rsidRDefault="00706E76" w:rsidP="00AD0BF0">
            <w:pPr>
              <w:jc w:val="center"/>
              <w:rPr>
                <w:sz w:val="18"/>
                <w:szCs w:val="18"/>
              </w:rPr>
            </w:pPr>
            <w:r w:rsidRPr="009C0E7E">
              <w:rPr>
                <w:sz w:val="18"/>
                <w:szCs w:val="18"/>
              </w:rPr>
              <w:t>BE6K-UCL-BAS</w:t>
            </w:r>
          </w:p>
        </w:tc>
        <w:tc>
          <w:tcPr>
            <w:tcW w:w="708" w:type="dxa"/>
            <w:shd w:val="clear" w:color="auto" w:fill="auto"/>
          </w:tcPr>
          <w:p w:rsidR="00706E76" w:rsidRPr="009C0E7E" w:rsidRDefault="00706E76" w:rsidP="00AD0BF0">
            <w:pPr>
              <w:jc w:val="center"/>
              <w:rPr>
                <w:sz w:val="18"/>
                <w:szCs w:val="18"/>
              </w:rPr>
            </w:pPr>
            <w:r w:rsidRPr="009C0E7E">
              <w:rPr>
                <w:rFonts w:eastAsia="Calibri"/>
                <w:bCs/>
                <w:sz w:val="18"/>
                <w:szCs w:val="18"/>
              </w:rPr>
              <w:t>шт</w:t>
            </w:r>
          </w:p>
        </w:tc>
        <w:tc>
          <w:tcPr>
            <w:tcW w:w="596" w:type="dxa"/>
            <w:shd w:val="clear" w:color="auto" w:fill="auto"/>
            <w:vAlign w:val="center"/>
          </w:tcPr>
          <w:p w:rsidR="00706E76" w:rsidRPr="009C0E7E" w:rsidRDefault="00706E76" w:rsidP="00706E76">
            <w:pPr>
              <w:jc w:val="center"/>
              <w:rPr>
                <w:bCs/>
                <w:sz w:val="18"/>
                <w:szCs w:val="18"/>
              </w:rPr>
            </w:pPr>
            <w:r w:rsidRPr="009C0E7E">
              <w:rPr>
                <w:bCs/>
                <w:sz w:val="18"/>
                <w:szCs w:val="18"/>
              </w:rPr>
              <w:t>33</w:t>
            </w:r>
            <w:r>
              <w:rPr>
                <w:bCs/>
                <w:sz w:val="18"/>
                <w:szCs w:val="18"/>
              </w:rPr>
              <w:t>7</w:t>
            </w:r>
            <w:bookmarkStart w:id="0" w:name="_GoBack"/>
            <w:bookmarkEnd w:id="0"/>
          </w:p>
        </w:tc>
        <w:tc>
          <w:tcPr>
            <w:tcW w:w="1418" w:type="dxa"/>
            <w:shd w:val="clear" w:color="auto" w:fill="auto"/>
            <w:vAlign w:val="center"/>
          </w:tcPr>
          <w:p w:rsidR="00706E76" w:rsidRPr="00D47A81" w:rsidRDefault="00706E76" w:rsidP="00B227C9">
            <w:pPr>
              <w:widowControl/>
              <w:autoSpaceDE/>
              <w:autoSpaceDN/>
              <w:jc w:val="center"/>
              <w:rPr>
                <w:rFonts w:eastAsia="Calibri"/>
                <w:b/>
                <w:bCs/>
                <w:szCs w:val="22"/>
              </w:rPr>
            </w:pPr>
          </w:p>
        </w:tc>
        <w:tc>
          <w:tcPr>
            <w:tcW w:w="1417" w:type="dxa"/>
            <w:shd w:val="clear" w:color="auto" w:fill="auto"/>
            <w:vAlign w:val="center"/>
          </w:tcPr>
          <w:p w:rsidR="00706E76" w:rsidRPr="00D47A81" w:rsidRDefault="00706E76" w:rsidP="00B227C9">
            <w:pPr>
              <w:widowControl/>
              <w:autoSpaceDE/>
              <w:autoSpaceDN/>
              <w:jc w:val="center"/>
              <w:rPr>
                <w:rFonts w:eastAsia="Calibri"/>
                <w:b/>
                <w:bCs/>
                <w:szCs w:val="22"/>
              </w:rPr>
            </w:pPr>
          </w:p>
        </w:tc>
        <w:tc>
          <w:tcPr>
            <w:tcW w:w="1701" w:type="dxa"/>
            <w:shd w:val="clear" w:color="auto" w:fill="auto"/>
            <w:vAlign w:val="center"/>
          </w:tcPr>
          <w:p w:rsidR="00706E76" w:rsidRPr="00D47A81" w:rsidRDefault="00706E76" w:rsidP="00B227C9">
            <w:pPr>
              <w:widowControl/>
              <w:autoSpaceDE/>
              <w:autoSpaceDN/>
              <w:jc w:val="center"/>
              <w:rPr>
                <w:color w:val="000000"/>
                <w:sz w:val="18"/>
              </w:rPr>
            </w:pPr>
            <w:r>
              <w:rPr>
                <w:rFonts w:eastAsia="Calibri"/>
                <w:color w:val="000000"/>
                <w:sz w:val="18"/>
              </w:rPr>
              <w:t>бессрочная</w:t>
            </w:r>
          </w:p>
        </w:tc>
      </w:tr>
      <w:tr w:rsidR="00706E76" w:rsidRPr="00D47A81" w:rsidTr="002502CE">
        <w:tc>
          <w:tcPr>
            <w:tcW w:w="437" w:type="dxa"/>
            <w:shd w:val="clear" w:color="auto" w:fill="auto"/>
          </w:tcPr>
          <w:p w:rsidR="00706E76" w:rsidRPr="00706E76" w:rsidRDefault="00706E76" w:rsidP="00B227C9">
            <w:pPr>
              <w:keepNext/>
              <w:widowControl/>
              <w:autoSpaceDE/>
              <w:autoSpaceDN/>
              <w:spacing w:before="40" w:after="40"/>
              <w:ind w:left="-52" w:right="-60"/>
              <w:rPr>
                <w:rFonts w:ascii="Calibri" w:eastAsia="Calibri" w:hAnsi="Calibri"/>
                <w:color w:val="000000"/>
                <w:szCs w:val="22"/>
                <w:lang w:val="en-US"/>
              </w:rPr>
            </w:pPr>
            <w:r>
              <w:rPr>
                <w:rFonts w:ascii="Calibri" w:eastAsia="Calibri" w:hAnsi="Calibri"/>
                <w:color w:val="000000"/>
                <w:szCs w:val="22"/>
                <w:lang w:val="en-US"/>
              </w:rPr>
              <w:t>4</w:t>
            </w:r>
          </w:p>
        </w:tc>
        <w:tc>
          <w:tcPr>
            <w:tcW w:w="1826" w:type="dxa"/>
            <w:shd w:val="clear" w:color="auto" w:fill="auto"/>
            <w:vAlign w:val="center"/>
          </w:tcPr>
          <w:p w:rsidR="00706E76" w:rsidRPr="009C0E7E" w:rsidRDefault="00706E76" w:rsidP="00AD0BF0">
            <w:pPr>
              <w:rPr>
                <w:bCs/>
                <w:sz w:val="18"/>
                <w:szCs w:val="18"/>
                <w:lang w:val="en-US"/>
              </w:rPr>
            </w:pPr>
            <w:r w:rsidRPr="009C0E7E">
              <w:rPr>
                <w:bCs/>
                <w:sz w:val="18"/>
                <w:szCs w:val="18"/>
              </w:rPr>
              <w:t>Лицензия</w:t>
            </w:r>
            <w:r w:rsidRPr="009C0E7E">
              <w:rPr>
                <w:bCs/>
                <w:sz w:val="18"/>
                <w:szCs w:val="18"/>
                <w:lang w:val="en-US"/>
              </w:rPr>
              <w:t xml:space="preserve"> CCX 11 Enhanced 5 seat Promo Bundle</w:t>
            </w:r>
          </w:p>
        </w:tc>
        <w:tc>
          <w:tcPr>
            <w:tcW w:w="1673" w:type="dxa"/>
            <w:shd w:val="clear" w:color="auto" w:fill="auto"/>
            <w:vAlign w:val="center"/>
          </w:tcPr>
          <w:p w:rsidR="00706E76" w:rsidRPr="009C0E7E" w:rsidRDefault="00706E76" w:rsidP="00AD0BF0">
            <w:pPr>
              <w:jc w:val="center"/>
              <w:rPr>
                <w:sz w:val="18"/>
                <w:szCs w:val="18"/>
              </w:rPr>
            </w:pPr>
            <w:r w:rsidRPr="009C0E7E">
              <w:rPr>
                <w:sz w:val="18"/>
                <w:szCs w:val="18"/>
              </w:rPr>
              <w:t>CCX-11-5E</w:t>
            </w:r>
          </w:p>
        </w:tc>
        <w:tc>
          <w:tcPr>
            <w:tcW w:w="708" w:type="dxa"/>
            <w:shd w:val="clear" w:color="auto" w:fill="auto"/>
          </w:tcPr>
          <w:p w:rsidR="00706E76" w:rsidRPr="009C0E7E" w:rsidRDefault="00706E76" w:rsidP="00AD0BF0">
            <w:pPr>
              <w:jc w:val="center"/>
              <w:rPr>
                <w:sz w:val="18"/>
                <w:szCs w:val="18"/>
              </w:rPr>
            </w:pPr>
            <w:r w:rsidRPr="009C0E7E">
              <w:rPr>
                <w:rFonts w:eastAsia="Calibri"/>
                <w:bCs/>
                <w:sz w:val="18"/>
                <w:szCs w:val="18"/>
              </w:rPr>
              <w:t>шт</w:t>
            </w:r>
          </w:p>
        </w:tc>
        <w:tc>
          <w:tcPr>
            <w:tcW w:w="596" w:type="dxa"/>
            <w:shd w:val="clear" w:color="auto" w:fill="auto"/>
            <w:vAlign w:val="center"/>
          </w:tcPr>
          <w:p w:rsidR="00706E76" w:rsidRPr="009C0E7E" w:rsidRDefault="00706E76" w:rsidP="00AD0BF0">
            <w:pPr>
              <w:jc w:val="center"/>
              <w:rPr>
                <w:bCs/>
                <w:sz w:val="18"/>
                <w:szCs w:val="18"/>
              </w:rPr>
            </w:pPr>
            <w:r w:rsidRPr="009C0E7E">
              <w:rPr>
                <w:bCs/>
                <w:sz w:val="18"/>
                <w:szCs w:val="18"/>
              </w:rPr>
              <w:t>1</w:t>
            </w:r>
          </w:p>
        </w:tc>
        <w:tc>
          <w:tcPr>
            <w:tcW w:w="1418" w:type="dxa"/>
            <w:shd w:val="clear" w:color="auto" w:fill="auto"/>
            <w:vAlign w:val="center"/>
          </w:tcPr>
          <w:p w:rsidR="00706E76" w:rsidRPr="00D47A81" w:rsidRDefault="00706E76" w:rsidP="00B227C9">
            <w:pPr>
              <w:widowControl/>
              <w:autoSpaceDE/>
              <w:autoSpaceDN/>
              <w:jc w:val="center"/>
              <w:rPr>
                <w:rFonts w:eastAsia="Calibri"/>
                <w:b/>
                <w:bCs/>
                <w:szCs w:val="22"/>
              </w:rPr>
            </w:pPr>
          </w:p>
        </w:tc>
        <w:tc>
          <w:tcPr>
            <w:tcW w:w="1417" w:type="dxa"/>
            <w:shd w:val="clear" w:color="auto" w:fill="auto"/>
            <w:vAlign w:val="center"/>
          </w:tcPr>
          <w:p w:rsidR="00706E76" w:rsidRPr="00D47A81" w:rsidRDefault="00706E76" w:rsidP="00B227C9">
            <w:pPr>
              <w:widowControl/>
              <w:autoSpaceDE/>
              <w:autoSpaceDN/>
              <w:jc w:val="center"/>
              <w:rPr>
                <w:rFonts w:eastAsia="Calibri"/>
                <w:b/>
                <w:bCs/>
                <w:szCs w:val="22"/>
              </w:rPr>
            </w:pPr>
          </w:p>
        </w:tc>
        <w:tc>
          <w:tcPr>
            <w:tcW w:w="1701" w:type="dxa"/>
            <w:shd w:val="clear" w:color="auto" w:fill="auto"/>
            <w:vAlign w:val="center"/>
          </w:tcPr>
          <w:p w:rsidR="00706E76" w:rsidRPr="00D47A81" w:rsidRDefault="00706E76" w:rsidP="00B227C9">
            <w:pPr>
              <w:widowControl/>
              <w:autoSpaceDE/>
              <w:autoSpaceDN/>
              <w:jc w:val="center"/>
              <w:rPr>
                <w:color w:val="000000"/>
                <w:sz w:val="18"/>
              </w:rPr>
            </w:pPr>
            <w:r>
              <w:rPr>
                <w:rFonts w:eastAsia="Calibri"/>
                <w:color w:val="000000"/>
                <w:sz w:val="18"/>
              </w:rPr>
              <w:t>бессрочная</w:t>
            </w:r>
          </w:p>
        </w:tc>
      </w:tr>
      <w:tr w:rsidR="00706E76" w:rsidRPr="00D47A81" w:rsidTr="002502CE">
        <w:tc>
          <w:tcPr>
            <w:tcW w:w="437" w:type="dxa"/>
            <w:shd w:val="clear" w:color="auto" w:fill="auto"/>
          </w:tcPr>
          <w:p w:rsidR="00706E76" w:rsidRPr="00706E76" w:rsidRDefault="00706E76" w:rsidP="00B227C9">
            <w:pPr>
              <w:keepNext/>
              <w:widowControl/>
              <w:autoSpaceDE/>
              <w:autoSpaceDN/>
              <w:spacing w:before="40" w:after="40"/>
              <w:ind w:left="-52" w:right="-60"/>
              <w:rPr>
                <w:rFonts w:ascii="Calibri" w:eastAsia="Calibri" w:hAnsi="Calibri"/>
                <w:color w:val="000000"/>
                <w:szCs w:val="22"/>
                <w:lang w:val="en-US"/>
              </w:rPr>
            </w:pPr>
            <w:r>
              <w:rPr>
                <w:rFonts w:ascii="Calibri" w:eastAsia="Calibri" w:hAnsi="Calibri"/>
                <w:color w:val="000000"/>
                <w:szCs w:val="22"/>
                <w:lang w:val="en-US"/>
              </w:rPr>
              <w:t>5</w:t>
            </w:r>
          </w:p>
        </w:tc>
        <w:tc>
          <w:tcPr>
            <w:tcW w:w="1826" w:type="dxa"/>
            <w:shd w:val="clear" w:color="auto" w:fill="auto"/>
            <w:vAlign w:val="center"/>
          </w:tcPr>
          <w:p w:rsidR="00706E76" w:rsidRPr="009C0E7E" w:rsidRDefault="00706E76" w:rsidP="00AD0BF0">
            <w:pPr>
              <w:rPr>
                <w:bCs/>
                <w:sz w:val="18"/>
                <w:szCs w:val="18"/>
              </w:rPr>
            </w:pPr>
            <w:r w:rsidRPr="009C0E7E">
              <w:rPr>
                <w:bCs/>
                <w:sz w:val="18"/>
                <w:szCs w:val="18"/>
              </w:rPr>
              <w:t>Серверная лицензия на модуль "Запись" для 50 IP-телефонов</w:t>
            </w:r>
          </w:p>
        </w:tc>
        <w:tc>
          <w:tcPr>
            <w:tcW w:w="1673" w:type="dxa"/>
            <w:shd w:val="clear" w:color="auto" w:fill="auto"/>
            <w:vAlign w:val="center"/>
          </w:tcPr>
          <w:p w:rsidR="00706E76" w:rsidRPr="009C0E7E" w:rsidRDefault="00706E76" w:rsidP="00AD0BF0">
            <w:pPr>
              <w:jc w:val="center"/>
              <w:rPr>
                <w:sz w:val="18"/>
                <w:szCs w:val="18"/>
              </w:rPr>
            </w:pPr>
            <w:r w:rsidRPr="009C0E7E">
              <w:rPr>
                <w:sz w:val="18"/>
                <w:szCs w:val="18"/>
              </w:rPr>
              <w:t>AURUS-PHONEUP-REC-50</w:t>
            </w:r>
          </w:p>
        </w:tc>
        <w:tc>
          <w:tcPr>
            <w:tcW w:w="708" w:type="dxa"/>
            <w:shd w:val="clear" w:color="auto" w:fill="auto"/>
          </w:tcPr>
          <w:p w:rsidR="00706E76" w:rsidRPr="009C0E7E" w:rsidRDefault="00706E76" w:rsidP="00AD0BF0">
            <w:pPr>
              <w:jc w:val="center"/>
              <w:rPr>
                <w:sz w:val="18"/>
                <w:szCs w:val="18"/>
              </w:rPr>
            </w:pPr>
            <w:r w:rsidRPr="009C0E7E">
              <w:rPr>
                <w:rFonts w:eastAsia="Calibri"/>
                <w:bCs/>
                <w:sz w:val="18"/>
                <w:szCs w:val="18"/>
              </w:rPr>
              <w:t>шт</w:t>
            </w:r>
          </w:p>
        </w:tc>
        <w:tc>
          <w:tcPr>
            <w:tcW w:w="596" w:type="dxa"/>
            <w:shd w:val="clear" w:color="auto" w:fill="auto"/>
            <w:vAlign w:val="center"/>
          </w:tcPr>
          <w:p w:rsidR="00706E76" w:rsidRPr="009C0E7E" w:rsidRDefault="00706E76" w:rsidP="00AD0BF0">
            <w:pPr>
              <w:jc w:val="center"/>
              <w:rPr>
                <w:bCs/>
                <w:sz w:val="18"/>
                <w:szCs w:val="18"/>
              </w:rPr>
            </w:pPr>
            <w:r w:rsidRPr="009C0E7E">
              <w:rPr>
                <w:bCs/>
                <w:sz w:val="18"/>
                <w:szCs w:val="18"/>
              </w:rPr>
              <w:t>1</w:t>
            </w:r>
          </w:p>
        </w:tc>
        <w:tc>
          <w:tcPr>
            <w:tcW w:w="1418" w:type="dxa"/>
            <w:shd w:val="clear" w:color="auto" w:fill="auto"/>
            <w:vAlign w:val="center"/>
          </w:tcPr>
          <w:p w:rsidR="00706E76" w:rsidRPr="00D47A81" w:rsidRDefault="00706E76" w:rsidP="00B227C9">
            <w:pPr>
              <w:widowControl/>
              <w:autoSpaceDE/>
              <w:autoSpaceDN/>
              <w:jc w:val="center"/>
              <w:rPr>
                <w:rFonts w:eastAsia="Calibri"/>
                <w:b/>
                <w:bCs/>
                <w:szCs w:val="22"/>
              </w:rPr>
            </w:pPr>
          </w:p>
        </w:tc>
        <w:tc>
          <w:tcPr>
            <w:tcW w:w="1417" w:type="dxa"/>
            <w:shd w:val="clear" w:color="auto" w:fill="auto"/>
            <w:vAlign w:val="center"/>
          </w:tcPr>
          <w:p w:rsidR="00706E76" w:rsidRPr="00D47A81" w:rsidRDefault="00706E76" w:rsidP="00B227C9">
            <w:pPr>
              <w:widowControl/>
              <w:autoSpaceDE/>
              <w:autoSpaceDN/>
              <w:jc w:val="center"/>
              <w:rPr>
                <w:rFonts w:eastAsia="Calibri"/>
                <w:b/>
                <w:bCs/>
                <w:szCs w:val="22"/>
              </w:rPr>
            </w:pPr>
          </w:p>
        </w:tc>
        <w:tc>
          <w:tcPr>
            <w:tcW w:w="1701" w:type="dxa"/>
            <w:shd w:val="clear" w:color="auto" w:fill="auto"/>
            <w:vAlign w:val="center"/>
          </w:tcPr>
          <w:p w:rsidR="00706E76" w:rsidRPr="00D47A81" w:rsidRDefault="00706E76" w:rsidP="00B227C9">
            <w:pPr>
              <w:widowControl/>
              <w:autoSpaceDE/>
              <w:autoSpaceDN/>
              <w:jc w:val="center"/>
              <w:rPr>
                <w:color w:val="000000"/>
                <w:sz w:val="18"/>
              </w:rPr>
            </w:pPr>
            <w:r>
              <w:rPr>
                <w:rFonts w:eastAsia="Calibri"/>
                <w:color w:val="000000"/>
                <w:sz w:val="18"/>
              </w:rPr>
              <w:t>бессрочная</w:t>
            </w:r>
          </w:p>
        </w:tc>
      </w:tr>
      <w:tr w:rsidR="00706E76" w:rsidRPr="00D47A81" w:rsidTr="002502CE">
        <w:tc>
          <w:tcPr>
            <w:tcW w:w="437" w:type="dxa"/>
            <w:shd w:val="clear" w:color="auto" w:fill="auto"/>
          </w:tcPr>
          <w:p w:rsidR="00706E76" w:rsidRPr="00706E76" w:rsidRDefault="00706E76" w:rsidP="00B227C9">
            <w:pPr>
              <w:keepNext/>
              <w:widowControl/>
              <w:autoSpaceDE/>
              <w:autoSpaceDN/>
              <w:spacing w:before="40" w:after="40"/>
              <w:ind w:left="-52" w:right="-60"/>
              <w:rPr>
                <w:rFonts w:ascii="Calibri" w:eastAsia="Calibri" w:hAnsi="Calibri"/>
                <w:color w:val="000000"/>
                <w:szCs w:val="22"/>
                <w:lang w:val="en-US"/>
              </w:rPr>
            </w:pPr>
            <w:r>
              <w:rPr>
                <w:rFonts w:ascii="Calibri" w:eastAsia="Calibri" w:hAnsi="Calibri"/>
                <w:color w:val="000000"/>
                <w:szCs w:val="22"/>
                <w:lang w:val="en-US"/>
              </w:rPr>
              <w:t>6</w:t>
            </w:r>
          </w:p>
        </w:tc>
        <w:tc>
          <w:tcPr>
            <w:tcW w:w="1826" w:type="dxa"/>
            <w:shd w:val="clear" w:color="auto" w:fill="auto"/>
            <w:vAlign w:val="center"/>
          </w:tcPr>
          <w:p w:rsidR="00706E76" w:rsidRPr="009C0E7E" w:rsidRDefault="00706E76" w:rsidP="00AD0BF0">
            <w:pPr>
              <w:rPr>
                <w:bCs/>
                <w:sz w:val="18"/>
                <w:szCs w:val="18"/>
              </w:rPr>
            </w:pPr>
            <w:r w:rsidRPr="009C0E7E">
              <w:rPr>
                <w:bCs/>
                <w:sz w:val="18"/>
                <w:szCs w:val="18"/>
              </w:rPr>
              <w:t xml:space="preserve">Серверная лицензия на обновления модуля "Запись" для 50 IP-телефонов в течение 1 года </w:t>
            </w:r>
          </w:p>
        </w:tc>
        <w:tc>
          <w:tcPr>
            <w:tcW w:w="1673" w:type="dxa"/>
            <w:shd w:val="clear" w:color="auto" w:fill="auto"/>
            <w:vAlign w:val="center"/>
          </w:tcPr>
          <w:p w:rsidR="00706E76" w:rsidRPr="009C0E7E" w:rsidRDefault="00706E76" w:rsidP="00AD0BF0">
            <w:pPr>
              <w:jc w:val="center"/>
              <w:rPr>
                <w:sz w:val="18"/>
                <w:szCs w:val="18"/>
              </w:rPr>
            </w:pPr>
            <w:r w:rsidRPr="009C0E7E">
              <w:rPr>
                <w:sz w:val="18"/>
                <w:szCs w:val="18"/>
              </w:rPr>
              <w:t>AURUS-PHONEUP-REC-50-SUP</w:t>
            </w:r>
          </w:p>
        </w:tc>
        <w:tc>
          <w:tcPr>
            <w:tcW w:w="708" w:type="dxa"/>
            <w:shd w:val="clear" w:color="auto" w:fill="auto"/>
          </w:tcPr>
          <w:p w:rsidR="00706E76" w:rsidRPr="009C0E7E" w:rsidRDefault="00706E76" w:rsidP="00AD0BF0">
            <w:pPr>
              <w:jc w:val="center"/>
              <w:rPr>
                <w:sz w:val="18"/>
                <w:szCs w:val="18"/>
              </w:rPr>
            </w:pPr>
            <w:r w:rsidRPr="009C0E7E">
              <w:rPr>
                <w:rFonts w:eastAsia="Calibri"/>
                <w:bCs/>
                <w:sz w:val="18"/>
                <w:szCs w:val="18"/>
              </w:rPr>
              <w:t>шт</w:t>
            </w:r>
          </w:p>
        </w:tc>
        <w:tc>
          <w:tcPr>
            <w:tcW w:w="596" w:type="dxa"/>
            <w:shd w:val="clear" w:color="auto" w:fill="auto"/>
            <w:vAlign w:val="center"/>
          </w:tcPr>
          <w:p w:rsidR="00706E76" w:rsidRPr="009C0E7E" w:rsidRDefault="00706E76" w:rsidP="00AD0BF0">
            <w:pPr>
              <w:jc w:val="center"/>
              <w:rPr>
                <w:bCs/>
                <w:sz w:val="18"/>
                <w:szCs w:val="18"/>
              </w:rPr>
            </w:pPr>
            <w:r w:rsidRPr="009C0E7E">
              <w:rPr>
                <w:bCs/>
                <w:sz w:val="18"/>
                <w:szCs w:val="18"/>
              </w:rPr>
              <w:t>1</w:t>
            </w:r>
          </w:p>
        </w:tc>
        <w:tc>
          <w:tcPr>
            <w:tcW w:w="1418" w:type="dxa"/>
            <w:shd w:val="clear" w:color="auto" w:fill="auto"/>
            <w:vAlign w:val="center"/>
          </w:tcPr>
          <w:p w:rsidR="00706E76" w:rsidRPr="00D47A81" w:rsidRDefault="00706E76" w:rsidP="00B227C9">
            <w:pPr>
              <w:widowControl/>
              <w:autoSpaceDE/>
              <w:autoSpaceDN/>
              <w:jc w:val="center"/>
              <w:rPr>
                <w:rFonts w:eastAsia="Calibri"/>
                <w:b/>
                <w:bCs/>
                <w:szCs w:val="22"/>
              </w:rPr>
            </w:pPr>
          </w:p>
        </w:tc>
        <w:tc>
          <w:tcPr>
            <w:tcW w:w="1417" w:type="dxa"/>
            <w:shd w:val="clear" w:color="auto" w:fill="auto"/>
            <w:vAlign w:val="center"/>
          </w:tcPr>
          <w:p w:rsidR="00706E76" w:rsidRPr="00D47A81" w:rsidRDefault="00706E76" w:rsidP="00B227C9">
            <w:pPr>
              <w:widowControl/>
              <w:autoSpaceDE/>
              <w:autoSpaceDN/>
              <w:jc w:val="center"/>
              <w:rPr>
                <w:rFonts w:eastAsia="Calibri"/>
                <w:b/>
                <w:bCs/>
                <w:szCs w:val="22"/>
              </w:rPr>
            </w:pPr>
          </w:p>
        </w:tc>
        <w:tc>
          <w:tcPr>
            <w:tcW w:w="1701" w:type="dxa"/>
            <w:shd w:val="clear" w:color="auto" w:fill="auto"/>
            <w:vAlign w:val="center"/>
          </w:tcPr>
          <w:p w:rsidR="00706E76" w:rsidRPr="00D47A81" w:rsidRDefault="00706E76" w:rsidP="00B227C9">
            <w:pPr>
              <w:widowControl/>
              <w:autoSpaceDE/>
              <w:autoSpaceDN/>
              <w:jc w:val="center"/>
              <w:rPr>
                <w:color w:val="000000"/>
                <w:sz w:val="18"/>
              </w:rPr>
            </w:pPr>
            <w:r>
              <w:rPr>
                <w:rFonts w:eastAsia="Calibri"/>
                <w:color w:val="000000"/>
                <w:sz w:val="18"/>
              </w:rPr>
              <w:t>бессрочная</w:t>
            </w:r>
          </w:p>
        </w:tc>
      </w:tr>
    </w:tbl>
    <w:p w:rsidR="004162C7" w:rsidRPr="00D47A81" w:rsidRDefault="004162C7" w:rsidP="004162C7">
      <w:pPr>
        <w:widowControl/>
        <w:tabs>
          <w:tab w:val="num" w:pos="-180"/>
        </w:tabs>
        <w:autoSpaceDE/>
        <w:autoSpaceDN/>
        <w:ind w:right="-6"/>
        <w:jc w:val="right"/>
        <w:rPr>
          <w:sz w:val="24"/>
          <w:szCs w:val="24"/>
        </w:rPr>
      </w:pPr>
    </w:p>
    <w:p w:rsidR="004162C7" w:rsidRPr="00D47A81" w:rsidRDefault="004162C7" w:rsidP="004162C7">
      <w:pPr>
        <w:widowControl/>
        <w:tabs>
          <w:tab w:val="num" w:pos="-180"/>
        </w:tabs>
        <w:autoSpaceDE/>
        <w:autoSpaceDN/>
        <w:ind w:right="-6"/>
        <w:jc w:val="right"/>
        <w:rPr>
          <w:sz w:val="24"/>
          <w:szCs w:val="24"/>
        </w:rPr>
      </w:pPr>
    </w:p>
    <w:p w:rsidR="004162C7" w:rsidRDefault="004162C7" w:rsidP="004162C7">
      <w:pPr>
        <w:widowControl/>
        <w:autoSpaceDE/>
        <w:autoSpaceDN/>
        <w:rPr>
          <w:rFonts w:eastAsia="Calibri"/>
          <w:bCs/>
          <w:szCs w:val="22"/>
          <w:lang w:eastAsia="en-US"/>
        </w:rPr>
      </w:pPr>
      <w:r w:rsidRPr="00D47A81">
        <w:rPr>
          <w:rFonts w:eastAsia="Calibri"/>
          <w:bCs/>
          <w:szCs w:val="22"/>
          <w:lang w:eastAsia="en-US"/>
        </w:rPr>
        <w:t>Итого: __________________ (_______________) рублей ____ копеек</w:t>
      </w:r>
      <w:r>
        <w:rPr>
          <w:rFonts w:eastAsia="Calibri"/>
          <w:bCs/>
          <w:szCs w:val="22"/>
          <w:lang w:eastAsia="en-US"/>
        </w:rPr>
        <w:t>.</w:t>
      </w:r>
    </w:p>
    <w:p w:rsidR="004162C7" w:rsidRPr="00D47A81" w:rsidRDefault="004162C7" w:rsidP="004162C7">
      <w:pPr>
        <w:widowControl/>
        <w:autoSpaceDE/>
        <w:autoSpaceDN/>
        <w:rPr>
          <w:rFonts w:eastAsia="Calibri"/>
          <w:bCs/>
          <w:szCs w:val="22"/>
          <w:lang w:eastAsia="en-US"/>
        </w:rPr>
      </w:pPr>
      <w:r w:rsidRPr="00D47A81">
        <w:rPr>
          <w:rFonts w:eastAsia="Calibri"/>
          <w:bCs/>
          <w:szCs w:val="22"/>
          <w:lang w:eastAsia="en-US"/>
        </w:rPr>
        <w:t>НДС не облагается на основании подпункта 26 пункта 2 ст. 149 НК РФ.</w:t>
      </w:r>
    </w:p>
    <w:p w:rsidR="004162C7" w:rsidRPr="00D47A81" w:rsidRDefault="004162C7" w:rsidP="004162C7">
      <w:pPr>
        <w:widowControl/>
        <w:autoSpaceDE/>
        <w:autoSpaceDN/>
        <w:rPr>
          <w:rFonts w:eastAsia="Calibri"/>
          <w:bCs/>
          <w:szCs w:val="22"/>
          <w:lang w:eastAsia="en-US"/>
        </w:rPr>
      </w:pPr>
    </w:p>
    <w:p w:rsidR="004162C7" w:rsidRPr="00D47A81" w:rsidRDefault="004162C7" w:rsidP="004162C7">
      <w:pPr>
        <w:widowControl/>
        <w:autoSpaceDE/>
        <w:autoSpaceDN/>
        <w:rPr>
          <w:rFonts w:eastAsia="Calibri"/>
          <w:bCs/>
          <w:szCs w:val="24"/>
          <w:lang w:eastAsia="en-US"/>
        </w:rPr>
      </w:pPr>
    </w:p>
    <w:p w:rsidR="004162C7" w:rsidRPr="00D47A81" w:rsidRDefault="004162C7" w:rsidP="004162C7">
      <w:pPr>
        <w:autoSpaceDE/>
        <w:autoSpaceDN/>
        <w:jc w:val="center"/>
        <w:rPr>
          <w:b/>
          <w:sz w:val="22"/>
          <w:szCs w:val="22"/>
        </w:rPr>
      </w:pPr>
    </w:p>
    <w:p w:rsidR="004162C7" w:rsidRPr="00D47A81" w:rsidRDefault="004162C7" w:rsidP="004162C7">
      <w:pPr>
        <w:autoSpaceDE/>
        <w:autoSpaceDN/>
        <w:jc w:val="center"/>
        <w:rPr>
          <w:b/>
          <w:sz w:val="22"/>
          <w:szCs w:val="22"/>
        </w:rPr>
      </w:pPr>
    </w:p>
    <w:tbl>
      <w:tblPr>
        <w:tblpPr w:leftFromText="180" w:rightFromText="180" w:vertAnchor="text" w:horzAnchor="margin" w:tblpXSpec="center" w:tblpY="117"/>
        <w:tblOverlap w:val="never"/>
        <w:tblW w:w="8926" w:type="dxa"/>
        <w:tblLayout w:type="fixed"/>
        <w:tblLook w:val="04A0" w:firstRow="1" w:lastRow="0" w:firstColumn="1" w:lastColumn="0" w:noHBand="0" w:noVBand="1"/>
      </w:tblPr>
      <w:tblGrid>
        <w:gridCol w:w="4957"/>
        <w:gridCol w:w="3969"/>
      </w:tblGrid>
      <w:tr w:rsidR="004162C7" w:rsidRPr="00D47A81" w:rsidTr="00B227C9">
        <w:tc>
          <w:tcPr>
            <w:tcW w:w="4957" w:type="dxa"/>
          </w:tcPr>
          <w:p w:rsidR="004162C7" w:rsidRPr="00D47A81" w:rsidRDefault="004162C7" w:rsidP="00B227C9">
            <w:pPr>
              <w:keepNext/>
              <w:widowControl/>
              <w:autoSpaceDE/>
              <w:autoSpaceDN/>
              <w:spacing w:line="240" w:lineRule="atLeast"/>
              <w:rPr>
                <w:b/>
                <w:sz w:val="24"/>
                <w:szCs w:val="24"/>
              </w:rPr>
            </w:pPr>
            <w:r w:rsidRPr="00D47A81">
              <w:rPr>
                <w:b/>
                <w:sz w:val="22"/>
                <w:szCs w:val="24"/>
              </w:rPr>
              <w:t>Сублицензиат:</w:t>
            </w:r>
          </w:p>
          <w:p w:rsidR="004162C7" w:rsidRPr="00D47A81" w:rsidRDefault="004162C7" w:rsidP="00B227C9">
            <w:pPr>
              <w:widowControl/>
              <w:autoSpaceDE/>
              <w:autoSpaceDN/>
              <w:jc w:val="both"/>
              <w:rPr>
                <w:sz w:val="24"/>
                <w:szCs w:val="24"/>
              </w:rPr>
            </w:pPr>
          </w:p>
        </w:tc>
        <w:tc>
          <w:tcPr>
            <w:tcW w:w="3969" w:type="dxa"/>
          </w:tcPr>
          <w:p w:rsidR="004162C7" w:rsidRPr="00D47A81" w:rsidRDefault="004162C7" w:rsidP="00B227C9">
            <w:pPr>
              <w:keepNext/>
              <w:widowControl/>
              <w:autoSpaceDE/>
              <w:autoSpaceDN/>
              <w:spacing w:line="240" w:lineRule="atLeast"/>
              <w:rPr>
                <w:b/>
                <w:sz w:val="24"/>
                <w:szCs w:val="24"/>
              </w:rPr>
            </w:pPr>
            <w:r w:rsidRPr="00D47A81">
              <w:rPr>
                <w:b/>
                <w:sz w:val="22"/>
                <w:szCs w:val="24"/>
              </w:rPr>
              <w:t>Лицензиат:</w:t>
            </w:r>
          </w:p>
          <w:p w:rsidR="004162C7" w:rsidRPr="00D47A81" w:rsidRDefault="004162C7" w:rsidP="00B227C9">
            <w:pPr>
              <w:keepNext/>
              <w:widowControl/>
              <w:autoSpaceDE/>
              <w:autoSpaceDN/>
              <w:spacing w:line="240" w:lineRule="atLeast"/>
              <w:rPr>
                <w:b/>
                <w:sz w:val="24"/>
                <w:szCs w:val="24"/>
              </w:rPr>
            </w:pPr>
          </w:p>
        </w:tc>
      </w:tr>
      <w:tr w:rsidR="004162C7" w:rsidRPr="00D47A81" w:rsidTr="00B227C9">
        <w:tc>
          <w:tcPr>
            <w:tcW w:w="4957" w:type="dxa"/>
          </w:tcPr>
          <w:p w:rsidR="004162C7" w:rsidRPr="00D47A81" w:rsidRDefault="004162C7" w:rsidP="00B227C9">
            <w:pPr>
              <w:keepNext/>
              <w:widowControl/>
              <w:autoSpaceDE/>
              <w:autoSpaceDN/>
              <w:spacing w:line="240" w:lineRule="atLeast"/>
              <w:rPr>
                <w:sz w:val="24"/>
                <w:szCs w:val="24"/>
              </w:rPr>
            </w:pPr>
            <w:r w:rsidRPr="00D47A81">
              <w:rPr>
                <w:b/>
                <w:sz w:val="22"/>
                <w:szCs w:val="24"/>
              </w:rPr>
              <w:t>____</w:t>
            </w:r>
            <w:r>
              <w:rPr>
                <w:b/>
                <w:sz w:val="22"/>
                <w:szCs w:val="24"/>
              </w:rPr>
              <w:t>_____</w:t>
            </w:r>
            <w:r w:rsidRPr="00D47A81">
              <w:rPr>
                <w:b/>
                <w:sz w:val="22"/>
                <w:szCs w:val="24"/>
              </w:rPr>
              <w:t xml:space="preserve">____/ </w:t>
            </w:r>
            <w:r w:rsidRPr="00D47A81">
              <w:rPr>
                <w:sz w:val="22"/>
                <w:szCs w:val="24"/>
              </w:rPr>
              <w:t>_______________ /</w:t>
            </w:r>
          </w:p>
          <w:p w:rsidR="004162C7" w:rsidRPr="00D47A81" w:rsidRDefault="004162C7" w:rsidP="00B227C9">
            <w:pPr>
              <w:keepNext/>
              <w:widowControl/>
              <w:autoSpaceDE/>
              <w:autoSpaceDN/>
              <w:spacing w:line="240" w:lineRule="atLeast"/>
              <w:rPr>
                <w:sz w:val="24"/>
                <w:szCs w:val="24"/>
              </w:rPr>
            </w:pPr>
            <w:r w:rsidRPr="00D47A81">
              <w:rPr>
                <w:sz w:val="22"/>
                <w:szCs w:val="24"/>
              </w:rPr>
              <w:t>М.П.</w:t>
            </w:r>
          </w:p>
          <w:p w:rsidR="004162C7" w:rsidRPr="00D47A81" w:rsidRDefault="004162C7" w:rsidP="00B227C9">
            <w:pPr>
              <w:keepNext/>
              <w:widowControl/>
              <w:autoSpaceDE/>
              <w:autoSpaceDN/>
              <w:spacing w:line="240" w:lineRule="atLeast"/>
              <w:rPr>
                <w:b/>
                <w:sz w:val="24"/>
                <w:szCs w:val="24"/>
              </w:rPr>
            </w:pPr>
          </w:p>
          <w:p w:rsidR="004162C7" w:rsidRPr="00D47A81" w:rsidRDefault="004162C7" w:rsidP="00B227C9">
            <w:pPr>
              <w:keepNext/>
              <w:widowControl/>
              <w:autoSpaceDE/>
              <w:autoSpaceDN/>
              <w:spacing w:line="240" w:lineRule="atLeast"/>
              <w:rPr>
                <w:sz w:val="24"/>
                <w:szCs w:val="24"/>
              </w:rPr>
            </w:pPr>
          </w:p>
        </w:tc>
        <w:tc>
          <w:tcPr>
            <w:tcW w:w="3969" w:type="dxa"/>
          </w:tcPr>
          <w:p w:rsidR="004162C7" w:rsidRPr="00D47A81" w:rsidRDefault="004162C7" w:rsidP="00B227C9">
            <w:pPr>
              <w:keepNext/>
              <w:widowControl/>
              <w:autoSpaceDE/>
              <w:autoSpaceDN/>
              <w:spacing w:line="240" w:lineRule="atLeast"/>
              <w:rPr>
                <w:b/>
                <w:sz w:val="24"/>
                <w:szCs w:val="24"/>
              </w:rPr>
            </w:pPr>
            <w:r w:rsidRPr="00D47A81">
              <w:rPr>
                <w:b/>
                <w:sz w:val="22"/>
                <w:szCs w:val="24"/>
              </w:rPr>
              <w:t>_____________/_______________/</w:t>
            </w:r>
          </w:p>
          <w:p w:rsidR="004162C7" w:rsidRPr="00D47A81" w:rsidRDefault="004162C7" w:rsidP="00B227C9">
            <w:pPr>
              <w:keepNext/>
              <w:widowControl/>
              <w:autoSpaceDE/>
              <w:autoSpaceDN/>
              <w:spacing w:line="240" w:lineRule="atLeast"/>
              <w:rPr>
                <w:b/>
                <w:sz w:val="24"/>
                <w:szCs w:val="24"/>
              </w:rPr>
            </w:pPr>
            <w:r w:rsidRPr="00D47A81">
              <w:rPr>
                <w:sz w:val="22"/>
                <w:szCs w:val="24"/>
              </w:rPr>
              <w:t>М.П.</w:t>
            </w:r>
          </w:p>
        </w:tc>
      </w:tr>
    </w:tbl>
    <w:p w:rsidR="004162C7" w:rsidRPr="00D47A81" w:rsidRDefault="004162C7" w:rsidP="004162C7">
      <w:pPr>
        <w:autoSpaceDE/>
        <w:autoSpaceDN/>
        <w:jc w:val="center"/>
        <w:rPr>
          <w:b/>
          <w:sz w:val="22"/>
          <w:szCs w:val="22"/>
        </w:rPr>
      </w:pPr>
    </w:p>
    <w:p w:rsidR="004162C7" w:rsidRPr="00D47A81" w:rsidRDefault="004162C7" w:rsidP="004162C7">
      <w:pPr>
        <w:autoSpaceDE/>
        <w:autoSpaceDN/>
        <w:jc w:val="center"/>
        <w:rPr>
          <w:b/>
          <w:sz w:val="22"/>
          <w:szCs w:val="22"/>
        </w:rPr>
      </w:pPr>
    </w:p>
    <w:p w:rsidR="004162C7" w:rsidRDefault="004162C7" w:rsidP="004162C7">
      <w:pPr>
        <w:jc w:val="right"/>
        <w:rPr>
          <w:color w:val="000000"/>
          <w:sz w:val="24"/>
          <w:szCs w:val="24"/>
        </w:rPr>
      </w:pPr>
    </w:p>
    <w:p w:rsidR="004162C7" w:rsidRDefault="004162C7" w:rsidP="004162C7">
      <w:pPr>
        <w:jc w:val="right"/>
        <w:rPr>
          <w:color w:val="000000"/>
          <w:sz w:val="24"/>
          <w:szCs w:val="24"/>
        </w:rPr>
      </w:pPr>
    </w:p>
    <w:p w:rsidR="004162C7" w:rsidRDefault="004162C7" w:rsidP="004162C7">
      <w:pPr>
        <w:jc w:val="right"/>
        <w:rPr>
          <w:color w:val="000000"/>
          <w:sz w:val="24"/>
          <w:szCs w:val="24"/>
        </w:rPr>
      </w:pPr>
    </w:p>
    <w:p w:rsidR="00804AD1" w:rsidRPr="004162C7" w:rsidRDefault="00706E76" w:rsidP="004162C7">
      <w:pPr>
        <w:rPr>
          <w:lang w:val="en-US"/>
        </w:rPr>
      </w:pPr>
    </w:p>
    <w:sectPr w:rsidR="00804AD1" w:rsidRPr="004162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169D1"/>
    <w:multiLevelType w:val="multilevel"/>
    <w:tmpl w:val="E27A1F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6605FCE"/>
    <w:multiLevelType w:val="multilevel"/>
    <w:tmpl w:val="50F431C4"/>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2E38598C"/>
    <w:multiLevelType w:val="multilevel"/>
    <w:tmpl w:val="836C421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0875AB5"/>
    <w:multiLevelType w:val="multilevel"/>
    <w:tmpl w:val="A16AD4F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65F159A"/>
    <w:multiLevelType w:val="multilevel"/>
    <w:tmpl w:val="836C421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440"/>
        </w:tabs>
        <w:ind w:left="14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451C0CE7"/>
    <w:multiLevelType w:val="multilevel"/>
    <w:tmpl w:val="44EA33A4"/>
    <w:lvl w:ilvl="0">
      <w:start w:val="1"/>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num w:numId="1">
    <w:abstractNumId w:val="2"/>
  </w:num>
  <w:num w:numId="2">
    <w:abstractNumId w:val="4"/>
  </w:num>
  <w:num w:numId="3">
    <w:abstractNumId w:val="3"/>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2C7"/>
    <w:rsid w:val="004162C7"/>
    <w:rsid w:val="00706E76"/>
    <w:rsid w:val="007D355A"/>
    <w:rsid w:val="00D856C3"/>
    <w:rsid w:val="00DC3F87"/>
    <w:rsid w:val="00F85B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2C7"/>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2C7"/>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1217</Words>
  <Characters>6941</Characters>
  <Application>Microsoft Office Word</Application>
  <DocSecurity>0</DocSecurity>
  <Lines>57</Lines>
  <Paragraphs>16</Paragraphs>
  <ScaleCrop>false</ScaleCrop>
  <Company/>
  <LinksUpToDate>false</LinksUpToDate>
  <CharactersWithSpaces>8142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Логинов Михаил Игоревич</dc:creator>
  <cp:lastModifiedBy>Логинов Михаил Игоревич</cp:lastModifiedBy>
  <cp:revision>4</cp:revision>
  <dcterms:created xsi:type="dcterms:W3CDTF">2019-01-17T09:54:00Z</dcterms:created>
  <dcterms:modified xsi:type="dcterms:W3CDTF">2019-01-23T08:43:00Z</dcterms:modified>
</cp:coreProperties>
</file>