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96E" w:rsidRPr="0043196E" w:rsidRDefault="0043196E" w:rsidP="00440A4B">
      <w:pPr>
        <w:pStyle w:val="a6"/>
        <w:spacing w:line="360" w:lineRule="auto"/>
        <w:ind w:left="-567" w:firstLine="6521"/>
        <w:jc w:val="left"/>
        <w:rPr>
          <w:b w:val="0"/>
          <w:bCs w:val="0"/>
          <w:sz w:val="24"/>
        </w:rPr>
      </w:pPr>
      <w:r w:rsidRPr="0043196E">
        <w:rPr>
          <w:b w:val="0"/>
          <w:bCs w:val="0"/>
          <w:sz w:val="24"/>
        </w:rPr>
        <w:t xml:space="preserve">Приложение № 1 к приказу </w:t>
      </w:r>
    </w:p>
    <w:p w:rsidR="0043196E" w:rsidRPr="0043196E" w:rsidRDefault="0043196E" w:rsidP="00440A4B">
      <w:pPr>
        <w:pStyle w:val="a6"/>
        <w:spacing w:line="360" w:lineRule="auto"/>
        <w:ind w:left="-567" w:firstLine="6521"/>
        <w:jc w:val="left"/>
        <w:rPr>
          <w:b w:val="0"/>
          <w:bCs w:val="0"/>
          <w:sz w:val="24"/>
        </w:rPr>
      </w:pPr>
      <w:r w:rsidRPr="0043196E">
        <w:rPr>
          <w:b w:val="0"/>
          <w:bCs w:val="0"/>
          <w:sz w:val="24"/>
        </w:rPr>
        <w:t xml:space="preserve">ПАО «Томскэнергосбыт»  </w:t>
      </w:r>
    </w:p>
    <w:p w:rsidR="0043196E" w:rsidRPr="0043196E" w:rsidRDefault="00440A4B" w:rsidP="00440A4B">
      <w:pPr>
        <w:pStyle w:val="a6"/>
        <w:spacing w:line="360" w:lineRule="auto"/>
        <w:ind w:left="-567" w:firstLine="6521"/>
        <w:jc w:val="left"/>
        <w:rPr>
          <w:b w:val="0"/>
          <w:bCs w:val="0"/>
          <w:sz w:val="24"/>
        </w:rPr>
      </w:pPr>
      <w:r>
        <w:rPr>
          <w:b w:val="0"/>
          <w:bCs w:val="0"/>
          <w:sz w:val="24"/>
        </w:rPr>
        <w:t>от ______________ № ______</w:t>
      </w:r>
    </w:p>
    <w:p w:rsidR="0043196E" w:rsidRPr="0043196E" w:rsidRDefault="0043196E" w:rsidP="0043196E">
      <w:pPr>
        <w:spacing w:beforeLines="60" w:before="144" w:afterLines="60" w:after="144"/>
        <w:ind w:left="-567"/>
        <w:jc w:val="center"/>
        <w:rPr>
          <w:rFonts w:ascii="Times New Roman" w:hAnsi="Times New Roman" w:cs="Times New Roman"/>
          <w:b/>
          <w:bCs/>
          <w:caps/>
          <w:sz w:val="24"/>
          <w:szCs w:val="24"/>
        </w:rPr>
      </w:pPr>
    </w:p>
    <w:p w:rsidR="0043196E" w:rsidRPr="0043196E" w:rsidRDefault="0043196E" w:rsidP="0043196E">
      <w:pPr>
        <w:spacing w:beforeLines="60" w:before="144" w:afterLines="60" w:after="144"/>
        <w:ind w:left="-567"/>
        <w:jc w:val="center"/>
        <w:rPr>
          <w:rFonts w:ascii="Times New Roman" w:hAnsi="Times New Roman" w:cs="Times New Roman"/>
          <w:b/>
          <w:bCs/>
          <w:caps/>
          <w:sz w:val="24"/>
          <w:szCs w:val="24"/>
        </w:rPr>
      </w:pPr>
    </w:p>
    <w:p w:rsidR="0043196E" w:rsidRPr="0043196E" w:rsidRDefault="0043196E" w:rsidP="0043196E">
      <w:pPr>
        <w:spacing w:beforeLines="60" w:before="144" w:afterLines="60" w:after="144"/>
        <w:ind w:left="-567"/>
        <w:jc w:val="center"/>
        <w:rPr>
          <w:rFonts w:ascii="Times New Roman" w:hAnsi="Times New Roman" w:cs="Times New Roman"/>
          <w:b/>
          <w:bCs/>
          <w:caps/>
          <w:sz w:val="24"/>
          <w:szCs w:val="24"/>
        </w:rPr>
      </w:pPr>
    </w:p>
    <w:p w:rsidR="0043196E" w:rsidRPr="00440A4B" w:rsidRDefault="0043196E" w:rsidP="0043196E">
      <w:pPr>
        <w:spacing w:beforeLines="60" w:before="144" w:afterLines="60" w:after="144"/>
        <w:ind w:left="-567"/>
        <w:jc w:val="center"/>
        <w:rPr>
          <w:rFonts w:ascii="Times New Roman" w:hAnsi="Times New Roman" w:cs="Times New Roman"/>
          <w:b/>
          <w:bCs/>
          <w:caps/>
          <w:sz w:val="28"/>
          <w:szCs w:val="28"/>
        </w:rPr>
      </w:pPr>
    </w:p>
    <w:p w:rsidR="0043196E" w:rsidRPr="00440A4B" w:rsidRDefault="0043196E" w:rsidP="00440A4B">
      <w:pPr>
        <w:spacing w:beforeLines="60" w:before="144" w:afterLines="60" w:after="144"/>
        <w:ind w:left="-567"/>
        <w:jc w:val="center"/>
        <w:rPr>
          <w:rFonts w:ascii="Times New Roman" w:hAnsi="Times New Roman" w:cs="Times New Roman"/>
          <w:b/>
          <w:bCs/>
          <w:caps/>
          <w:sz w:val="28"/>
          <w:szCs w:val="28"/>
        </w:rPr>
      </w:pPr>
      <w:r w:rsidRPr="00440A4B">
        <w:rPr>
          <w:rFonts w:ascii="Times New Roman" w:hAnsi="Times New Roman" w:cs="Times New Roman"/>
          <w:b/>
          <w:bCs/>
          <w:caps/>
          <w:sz w:val="28"/>
          <w:szCs w:val="28"/>
        </w:rPr>
        <w:t>МетодикА</w:t>
      </w:r>
    </w:p>
    <w:p w:rsidR="0043196E" w:rsidRPr="00440A4B" w:rsidRDefault="0043196E" w:rsidP="00440A4B">
      <w:pPr>
        <w:ind w:left="-567"/>
        <w:jc w:val="center"/>
        <w:rPr>
          <w:rFonts w:ascii="Times New Roman" w:hAnsi="Times New Roman" w:cs="Times New Roman"/>
          <w:b/>
          <w:bCs/>
          <w:caps/>
          <w:sz w:val="28"/>
          <w:szCs w:val="28"/>
        </w:rPr>
      </w:pPr>
      <w:r w:rsidRPr="00440A4B">
        <w:rPr>
          <w:rFonts w:ascii="Times New Roman" w:hAnsi="Times New Roman" w:cs="Times New Roman"/>
          <w:b/>
          <w:bCs/>
          <w:caps/>
          <w:sz w:val="28"/>
          <w:szCs w:val="28"/>
        </w:rPr>
        <w:t>«проведениЕ экспертизы финансово-экономической устойчивости участников закупочных процедур»</w:t>
      </w:r>
    </w:p>
    <w:p w:rsidR="0043196E" w:rsidRPr="00440A4B" w:rsidRDefault="0043196E" w:rsidP="0043196E">
      <w:pPr>
        <w:spacing w:beforeLines="60" w:before="144" w:afterLines="60" w:after="144"/>
        <w:ind w:left="-567"/>
        <w:jc w:val="center"/>
        <w:rPr>
          <w:rFonts w:ascii="Times New Roman" w:hAnsi="Times New Roman" w:cs="Times New Roman"/>
          <w:b/>
          <w:bCs/>
          <w:caps/>
          <w:sz w:val="28"/>
          <w:szCs w:val="28"/>
        </w:rPr>
      </w:pPr>
      <w:r w:rsidRPr="00440A4B">
        <w:rPr>
          <w:rFonts w:ascii="Times New Roman" w:hAnsi="Times New Roman" w:cs="Times New Roman"/>
          <w:b/>
          <w:bCs/>
          <w:caps/>
          <w:sz w:val="28"/>
          <w:szCs w:val="28"/>
        </w:rPr>
        <w:t>МТ-065-2</w:t>
      </w:r>
    </w:p>
    <w:p w:rsidR="0043196E" w:rsidRPr="0043196E" w:rsidRDefault="0043196E" w:rsidP="0043196E">
      <w:pPr>
        <w:spacing w:beforeLines="60" w:before="144" w:afterLines="60" w:after="144"/>
        <w:ind w:left="-567"/>
        <w:jc w:val="center"/>
        <w:rPr>
          <w:rFonts w:ascii="Times New Roman" w:hAnsi="Times New Roman" w:cs="Times New Roman"/>
          <w:i/>
          <w:sz w:val="24"/>
          <w:szCs w:val="24"/>
        </w:rPr>
      </w:pPr>
    </w:p>
    <w:p w:rsidR="0043196E" w:rsidRPr="0043196E" w:rsidRDefault="0043196E" w:rsidP="0043196E">
      <w:pPr>
        <w:spacing w:beforeLines="60" w:before="144" w:afterLines="60" w:after="144"/>
        <w:ind w:left="-567"/>
        <w:jc w:val="center"/>
        <w:rPr>
          <w:rFonts w:ascii="Times New Roman" w:hAnsi="Times New Roman" w:cs="Times New Roman"/>
          <w:i/>
          <w:sz w:val="24"/>
          <w:szCs w:val="24"/>
        </w:rPr>
      </w:pPr>
    </w:p>
    <w:p w:rsidR="0043196E" w:rsidRPr="0043196E" w:rsidRDefault="0043196E" w:rsidP="0043196E">
      <w:pPr>
        <w:spacing w:beforeLines="60" w:before="144" w:afterLines="60" w:after="144"/>
        <w:ind w:left="-567"/>
        <w:jc w:val="center"/>
        <w:rPr>
          <w:rFonts w:ascii="Times New Roman" w:hAnsi="Times New Roman" w:cs="Times New Roman"/>
          <w:i/>
          <w:sz w:val="24"/>
          <w:szCs w:val="24"/>
        </w:rPr>
      </w:pPr>
    </w:p>
    <w:p w:rsidR="0043196E" w:rsidRPr="0043196E" w:rsidRDefault="0043196E" w:rsidP="0043196E">
      <w:pPr>
        <w:spacing w:beforeLines="60" w:before="144" w:afterLines="60" w:after="144"/>
        <w:ind w:left="-567"/>
        <w:jc w:val="center"/>
        <w:rPr>
          <w:rFonts w:ascii="Times New Roman" w:hAnsi="Times New Roman" w:cs="Times New Roman"/>
          <w:i/>
          <w:sz w:val="24"/>
          <w:szCs w:val="24"/>
        </w:rPr>
      </w:pPr>
    </w:p>
    <w:p w:rsidR="0043196E" w:rsidRPr="0043196E" w:rsidRDefault="0043196E" w:rsidP="0043196E">
      <w:pPr>
        <w:spacing w:beforeLines="60" w:before="144" w:afterLines="60" w:after="144"/>
        <w:ind w:left="-567"/>
        <w:jc w:val="center"/>
        <w:rPr>
          <w:rFonts w:ascii="Times New Roman" w:hAnsi="Times New Roman" w:cs="Times New Roman"/>
          <w:i/>
          <w:sz w:val="24"/>
          <w:szCs w:val="24"/>
        </w:rPr>
      </w:pPr>
    </w:p>
    <w:p w:rsidR="0043196E" w:rsidRPr="0043196E" w:rsidRDefault="0043196E" w:rsidP="0043196E">
      <w:pPr>
        <w:spacing w:beforeLines="60" w:before="144" w:afterLines="60" w:after="144"/>
        <w:ind w:left="-567"/>
        <w:jc w:val="center"/>
        <w:rPr>
          <w:rFonts w:ascii="Times New Roman" w:hAnsi="Times New Roman" w:cs="Times New Roman"/>
          <w:i/>
          <w:sz w:val="24"/>
          <w:szCs w:val="24"/>
        </w:rPr>
      </w:pPr>
    </w:p>
    <w:p w:rsidR="0043196E" w:rsidRPr="0043196E" w:rsidRDefault="0043196E" w:rsidP="0043196E">
      <w:pPr>
        <w:spacing w:beforeLines="60" w:before="144" w:afterLines="60" w:after="144"/>
        <w:ind w:left="-567"/>
        <w:jc w:val="center"/>
        <w:rPr>
          <w:rFonts w:ascii="Times New Roman" w:hAnsi="Times New Roman" w:cs="Times New Roman"/>
          <w:i/>
          <w:sz w:val="24"/>
          <w:szCs w:val="24"/>
        </w:rPr>
      </w:pPr>
    </w:p>
    <w:p w:rsidR="0043196E" w:rsidRPr="0043196E" w:rsidRDefault="0043196E" w:rsidP="0043196E">
      <w:pPr>
        <w:spacing w:beforeLines="60" w:before="144" w:afterLines="60" w:after="144"/>
        <w:rPr>
          <w:rFonts w:ascii="Times New Roman" w:hAnsi="Times New Roman" w:cs="Times New Roman"/>
          <w:i/>
          <w:sz w:val="24"/>
          <w:szCs w:val="24"/>
        </w:rPr>
      </w:pPr>
    </w:p>
    <w:p w:rsidR="0043196E" w:rsidRDefault="0043196E" w:rsidP="0043196E">
      <w:pPr>
        <w:rPr>
          <w:rFonts w:ascii="Times New Roman" w:hAnsi="Times New Roman" w:cs="Times New Roman"/>
          <w:sz w:val="24"/>
          <w:szCs w:val="24"/>
          <w:highlight w:val="yellow"/>
        </w:rPr>
      </w:pPr>
    </w:p>
    <w:p w:rsidR="00B90E43" w:rsidRDefault="00B90E43" w:rsidP="0043196E">
      <w:pPr>
        <w:rPr>
          <w:rFonts w:ascii="Times New Roman" w:hAnsi="Times New Roman" w:cs="Times New Roman"/>
          <w:sz w:val="24"/>
          <w:szCs w:val="24"/>
          <w:highlight w:val="yellow"/>
        </w:rPr>
      </w:pPr>
    </w:p>
    <w:p w:rsidR="00B90E43" w:rsidRPr="0043196E" w:rsidRDefault="00B90E43" w:rsidP="0043196E">
      <w:pPr>
        <w:rPr>
          <w:rFonts w:ascii="Times New Roman" w:hAnsi="Times New Roman" w:cs="Times New Roman"/>
          <w:sz w:val="24"/>
          <w:szCs w:val="24"/>
          <w:highlight w:val="yellow"/>
        </w:rPr>
      </w:pPr>
    </w:p>
    <w:p w:rsidR="0043196E" w:rsidRPr="0043196E" w:rsidRDefault="0043196E" w:rsidP="0043196E">
      <w:pPr>
        <w:rPr>
          <w:rFonts w:ascii="Times New Roman" w:hAnsi="Times New Roman" w:cs="Times New Roman"/>
          <w:b/>
          <w:sz w:val="24"/>
          <w:szCs w:val="24"/>
        </w:rPr>
      </w:pPr>
      <w:r w:rsidRPr="0043196E">
        <w:rPr>
          <w:rFonts w:ascii="Times New Roman" w:hAnsi="Times New Roman" w:cs="Times New Roman"/>
          <w:b/>
          <w:sz w:val="24"/>
          <w:szCs w:val="24"/>
        </w:rPr>
        <w:t>Ответственный за применение ВНД:</w:t>
      </w:r>
    </w:p>
    <w:p w:rsidR="00440A4B" w:rsidRPr="00440A4B" w:rsidRDefault="00056E54" w:rsidP="0043196E">
      <w:pPr>
        <w:rPr>
          <w:rFonts w:ascii="Times New Roman" w:hAnsi="Times New Roman" w:cs="Times New Roman"/>
          <w:sz w:val="24"/>
          <w:szCs w:val="24"/>
        </w:rPr>
      </w:pPr>
      <w:r w:rsidRPr="0043196E">
        <w:rPr>
          <w:rFonts w:ascii="Times New Roman" w:hAnsi="Times New Roman" w:cs="Times New Roman"/>
          <w:sz w:val="24"/>
          <w:szCs w:val="24"/>
        </w:rPr>
        <w:t>Начальник управления экономики и финансов</w:t>
      </w:r>
    </w:p>
    <w:p w:rsidR="0043196E" w:rsidRPr="0043196E" w:rsidRDefault="0043196E" w:rsidP="0043196E">
      <w:pPr>
        <w:rPr>
          <w:rFonts w:ascii="Times New Roman" w:hAnsi="Times New Roman" w:cs="Times New Roman"/>
          <w:b/>
          <w:sz w:val="24"/>
          <w:szCs w:val="24"/>
        </w:rPr>
      </w:pPr>
      <w:r w:rsidRPr="0043196E">
        <w:rPr>
          <w:rFonts w:ascii="Times New Roman" w:hAnsi="Times New Roman" w:cs="Times New Roman"/>
          <w:b/>
          <w:sz w:val="24"/>
          <w:szCs w:val="24"/>
        </w:rPr>
        <w:t>Владелец документа:</w:t>
      </w:r>
    </w:p>
    <w:p w:rsidR="00056E54" w:rsidRDefault="00056E54" w:rsidP="00056E54">
      <w:pPr>
        <w:rPr>
          <w:rFonts w:ascii="Times New Roman" w:hAnsi="Times New Roman" w:cs="Times New Roman"/>
          <w:sz w:val="24"/>
          <w:szCs w:val="24"/>
        </w:rPr>
      </w:pPr>
      <w:r w:rsidRPr="0043196E">
        <w:rPr>
          <w:rFonts w:ascii="Times New Roman" w:hAnsi="Times New Roman" w:cs="Times New Roman"/>
          <w:sz w:val="24"/>
          <w:szCs w:val="24"/>
        </w:rPr>
        <w:t>Заместитель генерального директора по экономике и финансам</w:t>
      </w:r>
    </w:p>
    <w:p w:rsidR="00440A4B" w:rsidRDefault="00440A4B" w:rsidP="00056E54">
      <w:pPr>
        <w:rPr>
          <w:rFonts w:ascii="Times New Roman" w:hAnsi="Times New Roman" w:cs="Times New Roman"/>
          <w:sz w:val="24"/>
          <w:szCs w:val="24"/>
        </w:rPr>
      </w:pPr>
    </w:p>
    <w:p w:rsidR="00440A4B" w:rsidRPr="0043196E" w:rsidRDefault="00440A4B" w:rsidP="00056E54">
      <w:pPr>
        <w:rPr>
          <w:rFonts w:ascii="Times New Roman" w:hAnsi="Times New Roman" w:cs="Times New Roman"/>
          <w:sz w:val="24"/>
          <w:szCs w:val="24"/>
        </w:rPr>
      </w:pPr>
    </w:p>
    <w:p w:rsidR="00906887" w:rsidRPr="0043196E" w:rsidRDefault="0043196E" w:rsidP="0043196E">
      <w:pPr>
        <w:rPr>
          <w:rFonts w:ascii="Times New Roman" w:hAnsi="Times New Roman" w:cs="Times New Roman"/>
          <w:b/>
          <w:sz w:val="24"/>
          <w:szCs w:val="24"/>
        </w:rPr>
      </w:pPr>
      <w:r w:rsidRPr="0043196E">
        <w:rPr>
          <w:sz w:val="24"/>
        </w:rPr>
        <w:lastRenderedPageBreak/>
        <w:t>СОДЕРЖАНИЕ</w:t>
      </w:r>
    </w:p>
    <w:sdt>
      <w:sdtPr>
        <w:rPr>
          <w:rFonts w:asciiTheme="minorHAnsi" w:eastAsiaTheme="minorHAnsi" w:hAnsiTheme="minorHAnsi" w:cstheme="minorBidi"/>
          <w:bCs w:val="0"/>
          <w:iCs w:val="0"/>
          <w:sz w:val="22"/>
          <w:szCs w:val="22"/>
          <w:lang w:eastAsia="en-US"/>
        </w:rPr>
        <w:id w:val="553739048"/>
        <w:docPartObj>
          <w:docPartGallery w:val="Table of Contents"/>
          <w:docPartUnique/>
        </w:docPartObj>
      </w:sdtPr>
      <w:sdtEndPr>
        <w:rPr>
          <w:rFonts w:ascii="Times New Roman" w:hAnsi="Times New Roman"/>
          <w:b/>
        </w:rPr>
      </w:sdtEndPr>
      <w:sdtContent>
        <w:p w:rsidR="00F141EB" w:rsidRPr="00CA4E60" w:rsidRDefault="00906887">
          <w:pPr>
            <w:pStyle w:val="11"/>
            <w:tabs>
              <w:tab w:val="right" w:leader="dot" w:pos="9345"/>
            </w:tabs>
            <w:rPr>
              <w:rFonts w:ascii="Times New Roman" w:eastAsiaTheme="minorEastAsia" w:hAnsi="Times New Roman"/>
              <w:bCs w:val="0"/>
              <w:iCs w:val="0"/>
              <w:noProof/>
            </w:rPr>
          </w:pPr>
          <w:r w:rsidRPr="00CA4E60">
            <w:rPr>
              <w:rFonts w:ascii="Times New Roman" w:hAnsi="Times New Roman"/>
            </w:rPr>
            <w:fldChar w:fldCharType="begin"/>
          </w:r>
          <w:r w:rsidRPr="00CA4E60">
            <w:rPr>
              <w:rFonts w:ascii="Times New Roman" w:hAnsi="Times New Roman"/>
            </w:rPr>
            <w:instrText xml:space="preserve"> TOC \o "1-3" \h \z \u </w:instrText>
          </w:r>
          <w:r w:rsidRPr="00CA4E60">
            <w:rPr>
              <w:rFonts w:ascii="Times New Roman" w:hAnsi="Times New Roman"/>
            </w:rPr>
            <w:fldChar w:fldCharType="separate"/>
          </w:r>
          <w:hyperlink w:anchor="_Toc519591601" w:history="1">
            <w:r w:rsidR="00F141EB" w:rsidRPr="00CA4E60">
              <w:rPr>
                <w:rStyle w:val="a9"/>
                <w:rFonts w:ascii="Times New Roman" w:hAnsi="Times New Roman"/>
                <w:noProof/>
              </w:rPr>
              <w:t>1. Термины и определения</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_Toc519591601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3</w:t>
            </w:r>
            <w:r w:rsidR="00F141EB" w:rsidRPr="00CA4E60">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02" w:history="1">
            <w:r w:rsidR="00F141EB" w:rsidRPr="00CA4E60">
              <w:rPr>
                <w:rStyle w:val="a9"/>
                <w:rFonts w:ascii="Times New Roman" w:hAnsi="Times New Roman"/>
                <w:noProof/>
              </w:rPr>
              <w:t>2. Нормативные ссылки</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_Toc519591602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4</w:t>
            </w:r>
            <w:r w:rsidR="00F141EB" w:rsidRPr="00CA4E60">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03" w:history="1">
            <w:r w:rsidR="00F141EB" w:rsidRPr="00CA4E60">
              <w:rPr>
                <w:rStyle w:val="a9"/>
                <w:rFonts w:ascii="Times New Roman" w:hAnsi="Times New Roman"/>
                <w:noProof/>
              </w:rPr>
              <w:t>3. Назначение и область применения</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_Toc519591603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4</w:t>
            </w:r>
            <w:r w:rsidR="00F141EB" w:rsidRPr="00CA4E60">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04" w:history="1">
            <w:r w:rsidR="00F141EB" w:rsidRPr="00CA4E60">
              <w:rPr>
                <w:rStyle w:val="a9"/>
                <w:rFonts w:ascii="Times New Roman" w:hAnsi="Times New Roman"/>
                <w:noProof/>
              </w:rPr>
              <w:t>4. Общие положения</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_Toc519591604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5</w:t>
            </w:r>
            <w:r w:rsidR="00F141EB" w:rsidRPr="00CA4E60">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05" w:history="1">
            <w:r w:rsidR="00F141EB" w:rsidRPr="00CA4E60">
              <w:rPr>
                <w:rStyle w:val="a9"/>
                <w:rFonts w:ascii="Times New Roman" w:hAnsi="Times New Roman"/>
                <w:noProof/>
              </w:rPr>
              <w:t>5. Информация, используемая для оценки</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_Toc519591605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6</w:t>
            </w:r>
            <w:r w:rsidR="00F141EB" w:rsidRPr="00CA4E60">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06" w:history="1">
            <w:r w:rsidR="00F141EB" w:rsidRPr="00CA4E60">
              <w:rPr>
                <w:rStyle w:val="a9"/>
                <w:rFonts w:ascii="Times New Roman" w:hAnsi="Times New Roman"/>
                <w:noProof/>
              </w:rPr>
              <w:t>6. Группа финансовых показателей</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_Toc519591606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7</w:t>
            </w:r>
            <w:r w:rsidR="00F141EB" w:rsidRPr="00CA4E60">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07" w:history="1">
            <w:r w:rsidR="00F141EB" w:rsidRPr="00CA4E60">
              <w:rPr>
                <w:rStyle w:val="a9"/>
                <w:rFonts w:ascii="Times New Roman" w:hAnsi="Times New Roman"/>
                <w:noProof/>
              </w:rPr>
              <w:t>7. Группа показателей бизнес-риска</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_Toc519591607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10</w:t>
            </w:r>
            <w:r w:rsidR="00F141EB" w:rsidRPr="00CA4E60">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08" w:history="1">
            <w:r w:rsidR="00F141EB" w:rsidRPr="00CA4E60">
              <w:rPr>
                <w:rStyle w:val="a9"/>
                <w:rFonts w:ascii="Times New Roman" w:hAnsi="Times New Roman"/>
                <w:noProof/>
              </w:rPr>
              <w:t xml:space="preserve">8. Оценка в рамках закупочных процедур, участниками которых могут быть только субъекты малого и среднего предпринимательства </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_Toc519591608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12</w:t>
            </w:r>
            <w:r w:rsidR="00F141EB" w:rsidRPr="00CA4E60">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09" w:history="1">
            <w:r w:rsidR="00F141EB" w:rsidRPr="00CA4E60">
              <w:rPr>
                <w:rStyle w:val="a9"/>
                <w:rFonts w:ascii="Times New Roman" w:hAnsi="Times New Roman"/>
                <w:noProof/>
              </w:rPr>
              <w:t>9. Весовые коэффициенты и формирование первичной оценки</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_Toc519591609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12</w:t>
            </w:r>
            <w:r w:rsidR="00F141EB" w:rsidRPr="00CA4E60">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10" w:history="1">
            <w:r w:rsidR="00F141EB" w:rsidRPr="00CA4E60">
              <w:rPr>
                <w:rStyle w:val="a9"/>
                <w:rFonts w:ascii="Times New Roman" w:hAnsi="Times New Roman"/>
                <w:noProof/>
              </w:rPr>
              <w:t>10. Отборочная стадия</w:t>
            </w:r>
            <w:r w:rsidR="00F141EB" w:rsidRPr="00CA4E60">
              <w:rPr>
                <w:rFonts w:ascii="Times New Roman" w:hAnsi="Times New Roman"/>
                <w:noProof/>
                <w:webHidden/>
              </w:rPr>
              <w:tab/>
            </w:r>
            <w:r w:rsidR="00F141EB" w:rsidRPr="00A444A4">
              <w:rPr>
                <w:rFonts w:ascii="Times New Roman" w:hAnsi="Times New Roman"/>
                <w:noProof/>
                <w:webHidden/>
              </w:rPr>
              <w:fldChar w:fldCharType="begin"/>
            </w:r>
            <w:r w:rsidR="00F141EB" w:rsidRPr="00A444A4">
              <w:rPr>
                <w:rFonts w:ascii="Times New Roman" w:hAnsi="Times New Roman"/>
                <w:noProof/>
                <w:webHidden/>
              </w:rPr>
              <w:instrText xml:space="preserve"> PAGEREF _Toc519591610 \h </w:instrText>
            </w:r>
            <w:r w:rsidR="00F141EB" w:rsidRPr="00A444A4">
              <w:rPr>
                <w:rFonts w:ascii="Times New Roman" w:hAnsi="Times New Roman"/>
                <w:noProof/>
                <w:webHidden/>
              </w:rPr>
            </w:r>
            <w:r w:rsidR="00F141EB" w:rsidRPr="00A444A4">
              <w:rPr>
                <w:rFonts w:ascii="Times New Roman" w:hAnsi="Times New Roman"/>
                <w:noProof/>
                <w:webHidden/>
              </w:rPr>
              <w:fldChar w:fldCharType="separate"/>
            </w:r>
            <w:r w:rsidR="00B90E43">
              <w:rPr>
                <w:rFonts w:ascii="Times New Roman" w:hAnsi="Times New Roman"/>
                <w:noProof/>
                <w:webHidden/>
              </w:rPr>
              <w:t>15</w:t>
            </w:r>
            <w:r w:rsidR="00F141EB" w:rsidRPr="00A444A4">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11" w:history="1">
            <w:r w:rsidR="00F141EB" w:rsidRPr="00CA4E60">
              <w:rPr>
                <w:rStyle w:val="a9"/>
                <w:rFonts w:ascii="Times New Roman" w:hAnsi="Times New Roman"/>
                <w:noProof/>
              </w:rPr>
              <w:t>11. Оценочная стадия</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_Toc519591611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17</w:t>
            </w:r>
            <w:r w:rsidR="00F141EB" w:rsidRPr="00CA4E60">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12" w:history="1">
            <w:r w:rsidR="00F141EB" w:rsidRPr="00CA4E60">
              <w:rPr>
                <w:rStyle w:val="a9"/>
                <w:rFonts w:ascii="Times New Roman" w:hAnsi="Times New Roman"/>
                <w:noProof/>
              </w:rPr>
              <w:t>12. Лист регистрации изменений</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_Toc519591612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18</w:t>
            </w:r>
            <w:r w:rsidR="00F141EB" w:rsidRPr="00CA4E60">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13" w:history="1">
            <w:r w:rsidR="00F141EB" w:rsidRPr="00CA4E60">
              <w:rPr>
                <w:rStyle w:val="a9"/>
                <w:rFonts w:ascii="Times New Roman" w:hAnsi="Times New Roman"/>
                <w:noProof/>
              </w:rPr>
              <w:t>13. Права доступа к документу</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_Toc519591613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19</w:t>
            </w:r>
            <w:r w:rsidR="00F141EB" w:rsidRPr="00CA4E60">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14" w:history="1">
            <w:r w:rsidR="00F141EB" w:rsidRPr="00CA4E60">
              <w:rPr>
                <w:rStyle w:val="a9"/>
                <w:rFonts w:ascii="Times New Roman" w:eastAsiaTheme="minorHAnsi" w:hAnsi="Times New Roman"/>
                <w:noProof/>
              </w:rPr>
              <w:t>Приложение 1 Разграничение функциональных обязанностей по проведению финансово-экономической экспертизы</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_Toc519591614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20</w:t>
            </w:r>
            <w:r w:rsidR="00F141EB" w:rsidRPr="00CA4E60">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15" w:history="1">
            <w:r w:rsidR="00F141EB" w:rsidRPr="00CA4E60">
              <w:rPr>
                <w:rStyle w:val="a9"/>
                <w:rFonts w:ascii="Times New Roman" w:eastAsiaTheme="minorHAnsi" w:hAnsi="Times New Roman"/>
                <w:noProof/>
              </w:rPr>
              <w:t>Приложение 2 Алгоритм действия Эксперта при подготовке заключения по направлению финансово-экономической экспертизы с использованием шаблона «Финэкспертиза.</w:t>
            </w:r>
            <w:r w:rsidR="00F141EB" w:rsidRPr="00CA4E60">
              <w:rPr>
                <w:rStyle w:val="a9"/>
                <w:rFonts w:ascii="Times New Roman" w:eastAsiaTheme="minorHAnsi" w:hAnsi="Times New Roman"/>
                <w:noProof/>
                <w:lang w:val="en-US"/>
              </w:rPr>
              <w:t>xls</w:t>
            </w:r>
            <w:r w:rsidR="00F141EB" w:rsidRPr="00CA4E60">
              <w:rPr>
                <w:rStyle w:val="a9"/>
                <w:rFonts w:ascii="Times New Roman" w:eastAsiaTheme="minorHAnsi" w:hAnsi="Times New Roman"/>
                <w:noProof/>
              </w:rPr>
              <w:t>» (по закупочным процедурам, проводимым на общих основаниях)</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_Toc519591615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22</w:t>
            </w:r>
            <w:r w:rsidR="00F141EB" w:rsidRPr="00CA4E60">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16" w:history="1">
            <w:r w:rsidR="00F141EB" w:rsidRPr="00CA4E60">
              <w:rPr>
                <w:rStyle w:val="a9"/>
                <w:rFonts w:ascii="Times New Roman" w:eastAsiaTheme="minorHAnsi" w:hAnsi="Times New Roman"/>
                <w:noProof/>
              </w:rPr>
              <w:t>Приложение 3 Алгоритм действия Эксперта при подготовке заключения по направлению финансово-экономической экспертизы с использованием шаблона «Финэкспертиза_МСП.</w:t>
            </w:r>
            <w:r w:rsidR="00F141EB" w:rsidRPr="00CA4E60">
              <w:rPr>
                <w:rStyle w:val="a9"/>
                <w:rFonts w:ascii="Times New Roman" w:eastAsiaTheme="minorHAnsi" w:hAnsi="Times New Roman"/>
                <w:noProof/>
                <w:lang w:val="en-US"/>
              </w:rPr>
              <w:t>xls</w:t>
            </w:r>
            <w:r w:rsidR="00F141EB" w:rsidRPr="00CA4E60">
              <w:rPr>
                <w:rStyle w:val="a9"/>
                <w:rFonts w:ascii="Times New Roman" w:eastAsiaTheme="minorHAnsi" w:hAnsi="Times New Roman"/>
                <w:noProof/>
              </w:rPr>
              <w:t>» (по закупочным процедурам, участниками которых могут быть только субъекты малого и среднего предпринимательства)</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_Toc519591616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30</w:t>
            </w:r>
            <w:r w:rsidR="00F141EB" w:rsidRPr="00CA4E60">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17" w:history="1">
            <w:r w:rsidR="00F141EB" w:rsidRPr="00CA4E60">
              <w:rPr>
                <w:rStyle w:val="a9"/>
                <w:rFonts w:ascii="Times New Roman" w:eastAsiaTheme="minorHAnsi" w:hAnsi="Times New Roman"/>
                <w:noProof/>
              </w:rPr>
              <w:t>Приложение 4 Формат заключения по направлению финансово-экономической экспертизы с использованием шаблона «Финэкспертиза.</w:t>
            </w:r>
            <w:r w:rsidR="00F141EB" w:rsidRPr="00CA4E60">
              <w:rPr>
                <w:rStyle w:val="a9"/>
                <w:rFonts w:ascii="Times New Roman" w:eastAsiaTheme="minorHAnsi" w:hAnsi="Times New Roman"/>
                <w:noProof/>
                <w:lang w:val="en-US"/>
              </w:rPr>
              <w:t>xls</w:t>
            </w:r>
            <w:r w:rsidR="00F141EB" w:rsidRPr="00CA4E60">
              <w:rPr>
                <w:rStyle w:val="a9"/>
                <w:rFonts w:ascii="Times New Roman" w:eastAsiaTheme="minorHAnsi" w:hAnsi="Times New Roman"/>
                <w:noProof/>
              </w:rPr>
              <w:t>»</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_Toc519591617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38</w:t>
            </w:r>
            <w:r w:rsidR="00F141EB" w:rsidRPr="00CA4E60">
              <w:rPr>
                <w:rFonts w:ascii="Times New Roman" w:hAnsi="Times New Roman"/>
                <w:noProof/>
                <w:webHidden/>
              </w:rPr>
              <w:fldChar w:fldCharType="end"/>
            </w:r>
          </w:hyperlink>
        </w:p>
        <w:p w:rsidR="00F141EB" w:rsidRPr="00CA4E60" w:rsidRDefault="00440A4B">
          <w:pPr>
            <w:pStyle w:val="11"/>
            <w:tabs>
              <w:tab w:val="right" w:leader="dot" w:pos="9345"/>
            </w:tabs>
            <w:rPr>
              <w:rFonts w:ascii="Times New Roman" w:eastAsiaTheme="minorEastAsia" w:hAnsi="Times New Roman"/>
              <w:bCs w:val="0"/>
              <w:iCs w:val="0"/>
              <w:noProof/>
            </w:rPr>
          </w:pPr>
          <w:hyperlink w:anchor="_Toc519591618" w:history="1">
            <w:r w:rsidR="00F141EB" w:rsidRPr="00CA4E60">
              <w:rPr>
                <w:rStyle w:val="a9"/>
                <w:rFonts w:ascii="Times New Roman" w:eastAsiaTheme="minorHAnsi" w:hAnsi="Times New Roman"/>
                <w:noProof/>
              </w:rPr>
              <w:t>Приложение 5 Формат заключения по направлению финансово-экономической экспертизы с использованием шаблона «Финэкспертиза_МСП.</w:t>
            </w:r>
            <w:r w:rsidR="00F141EB" w:rsidRPr="00CA4E60">
              <w:rPr>
                <w:rStyle w:val="a9"/>
                <w:rFonts w:ascii="Times New Roman" w:eastAsiaTheme="minorHAnsi" w:hAnsi="Times New Roman"/>
                <w:noProof/>
                <w:lang w:val="en-US"/>
              </w:rPr>
              <w:t>xls</w:t>
            </w:r>
            <w:r w:rsidR="00F141EB" w:rsidRPr="00CA4E60">
              <w:rPr>
                <w:rStyle w:val="a9"/>
                <w:rFonts w:ascii="Times New Roman" w:eastAsiaTheme="minorHAnsi" w:hAnsi="Times New Roman"/>
                <w:noProof/>
              </w:rPr>
              <w:t>»</w:t>
            </w:r>
            <w:r w:rsidR="00F141EB" w:rsidRPr="00CA4E60">
              <w:rPr>
                <w:rFonts w:ascii="Times New Roman" w:hAnsi="Times New Roman"/>
                <w:noProof/>
                <w:webHidden/>
              </w:rPr>
              <w:tab/>
            </w:r>
            <w:r w:rsidR="00F141EB" w:rsidRPr="00CA4E60">
              <w:rPr>
                <w:rFonts w:ascii="Times New Roman" w:hAnsi="Times New Roman"/>
                <w:noProof/>
                <w:webHidden/>
              </w:rPr>
              <w:fldChar w:fldCharType="begin"/>
            </w:r>
            <w:r w:rsidR="00F141EB" w:rsidRPr="00CA4E60">
              <w:rPr>
                <w:rFonts w:ascii="Times New Roman" w:hAnsi="Times New Roman"/>
                <w:noProof/>
                <w:webHidden/>
              </w:rPr>
              <w:instrText xml:space="preserve"> PAGEREF _Toc519591618 \h </w:instrText>
            </w:r>
            <w:r w:rsidR="00F141EB" w:rsidRPr="00CA4E60">
              <w:rPr>
                <w:rFonts w:ascii="Times New Roman" w:hAnsi="Times New Roman"/>
                <w:noProof/>
                <w:webHidden/>
              </w:rPr>
            </w:r>
            <w:r w:rsidR="00F141EB" w:rsidRPr="00CA4E60">
              <w:rPr>
                <w:rFonts w:ascii="Times New Roman" w:hAnsi="Times New Roman"/>
                <w:noProof/>
                <w:webHidden/>
              </w:rPr>
              <w:fldChar w:fldCharType="separate"/>
            </w:r>
            <w:r w:rsidR="00B90E43">
              <w:rPr>
                <w:rFonts w:ascii="Times New Roman" w:hAnsi="Times New Roman"/>
                <w:noProof/>
                <w:webHidden/>
              </w:rPr>
              <w:t>40</w:t>
            </w:r>
            <w:r w:rsidR="00F141EB" w:rsidRPr="00CA4E60">
              <w:rPr>
                <w:rFonts w:ascii="Times New Roman" w:hAnsi="Times New Roman"/>
                <w:noProof/>
                <w:webHidden/>
              </w:rPr>
              <w:fldChar w:fldCharType="end"/>
            </w:r>
          </w:hyperlink>
        </w:p>
        <w:p w:rsidR="00906887" w:rsidRPr="00CA4E60" w:rsidRDefault="00906887">
          <w:pPr>
            <w:rPr>
              <w:rFonts w:ascii="Times New Roman" w:hAnsi="Times New Roman" w:cs="Times New Roman"/>
              <w:sz w:val="24"/>
              <w:szCs w:val="24"/>
            </w:rPr>
          </w:pPr>
          <w:r w:rsidRPr="00CA4E60">
            <w:rPr>
              <w:rFonts w:ascii="Times New Roman" w:hAnsi="Times New Roman" w:cs="Times New Roman"/>
              <w:b/>
              <w:bCs/>
              <w:sz w:val="24"/>
              <w:szCs w:val="24"/>
            </w:rPr>
            <w:fldChar w:fldCharType="end"/>
          </w:r>
        </w:p>
      </w:sdtContent>
    </w:sdt>
    <w:p w:rsidR="0043196E" w:rsidRDefault="0043196E" w:rsidP="0043196E">
      <w:pPr>
        <w:rPr>
          <w:rFonts w:ascii="Times New Roman" w:hAnsi="Times New Roman" w:cs="Times New Roman"/>
          <w:b/>
          <w:sz w:val="24"/>
          <w:szCs w:val="24"/>
        </w:rPr>
      </w:pPr>
    </w:p>
    <w:p w:rsidR="00CA4E60" w:rsidRDefault="00CA4E60" w:rsidP="0043196E">
      <w:pPr>
        <w:rPr>
          <w:rFonts w:ascii="Times New Roman" w:hAnsi="Times New Roman" w:cs="Times New Roman"/>
          <w:b/>
          <w:sz w:val="24"/>
          <w:szCs w:val="24"/>
        </w:rPr>
      </w:pPr>
    </w:p>
    <w:p w:rsidR="00CA4E60" w:rsidRDefault="00CA4E60" w:rsidP="0043196E">
      <w:pPr>
        <w:rPr>
          <w:rFonts w:ascii="Times New Roman" w:hAnsi="Times New Roman" w:cs="Times New Roman"/>
          <w:b/>
          <w:sz w:val="24"/>
          <w:szCs w:val="24"/>
        </w:rPr>
      </w:pPr>
    </w:p>
    <w:p w:rsidR="00CA4E60" w:rsidRPr="0043196E" w:rsidRDefault="00CA4E60" w:rsidP="0043196E">
      <w:pPr>
        <w:rPr>
          <w:rFonts w:ascii="Times New Roman" w:hAnsi="Times New Roman" w:cs="Times New Roman"/>
          <w:b/>
          <w:sz w:val="24"/>
          <w:szCs w:val="24"/>
        </w:rPr>
      </w:pPr>
    </w:p>
    <w:p w:rsidR="0043196E" w:rsidRPr="00906887" w:rsidRDefault="00906887" w:rsidP="00906887">
      <w:pPr>
        <w:pStyle w:val="1"/>
        <w:ind w:left="-567" w:hanging="709"/>
        <w:rPr>
          <w:rFonts w:ascii="Times New Roman" w:hAnsi="Times New Roman" w:cs="Times New Roman"/>
          <w:sz w:val="24"/>
        </w:rPr>
      </w:pPr>
      <w:bookmarkStart w:id="0" w:name="_Toc519591601"/>
      <w:r w:rsidRPr="00906887">
        <w:rPr>
          <w:rFonts w:ascii="Times New Roman" w:hAnsi="Times New Roman" w:cs="Times New Roman"/>
          <w:sz w:val="24"/>
        </w:rPr>
        <w:lastRenderedPageBreak/>
        <w:t xml:space="preserve">1. </w:t>
      </w:r>
      <w:r w:rsidR="0043196E" w:rsidRPr="00906887">
        <w:rPr>
          <w:rFonts w:ascii="Times New Roman" w:hAnsi="Times New Roman" w:cs="Times New Roman"/>
          <w:sz w:val="24"/>
        </w:rPr>
        <w:t>Термины и определения</w:t>
      </w:r>
      <w:bookmarkEnd w:id="0"/>
    </w:p>
    <w:tbl>
      <w:tblPr>
        <w:tblW w:w="5278" w:type="pct"/>
        <w:tblInd w:w="-544"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CellMar>
          <w:top w:w="23" w:type="dxa"/>
          <w:left w:w="23" w:type="dxa"/>
          <w:right w:w="23" w:type="dxa"/>
        </w:tblCellMar>
        <w:tblLook w:val="0000" w:firstRow="0" w:lastRow="0" w:firstColumn="0" w:lastColumn="0" w:noHBand="0" w:noVBand="0"/>
      </w:tblPr>
      <w:tblGrid>
        <w:gridCol w:w="3119"/>
        <w:gridCol w:w="6805"/>
      </w:tblGrid>
      <w:tr w:rsidR="0043196E" w:rsidRPr="0043196E" w:rsidTr="00906887">
        <w:tc>
          <w:tcPr>
            <w:tcW w:w="3119" w:type="dxa"/>
            <w:tcBorders>
              <w:top w:val="single" w:sz="6" w:space="0" w:color="000000"/>
              <w:left w:val="single" w:sz="6" w:space="0" w:color="000000"/>
              <w:bottom w:val="single" w:sz="6" w:space="0" w:color="000000"/>
              <w:right w:val="single" w:sz="6" w:space="0" w:color="000000"/>
            </w:tcBorders>
            <w:shd w:val="clear" w:color="auto" w:fill="D9D9D9"/>
            <w:tcMar>
              <w:left w:w="23" w:type="dxa"/>
            </w:tcMar>
            <w:vAlign w:val="center"/>
          </w:tcPr>
          <w:p w:rsidR="0043196E" w:rsidRPr="0043196E" w:rsidRDefault="0043196E" w:rsidP="00906887">
            <w:pPr>
              <w:pStyle w:val="TableHeader"/>
              <w:spacing w:before="120" w:after="120" w:line="240" w:lineRule="auto"/>
              <w:ind w:left="-567"/>
              <w:rPr>
                <w:rFonts w:ascii="Times New Roman" w:hAnsi="Times New Roman" w:cs="Times New Roman"/>
                <w:szCs w:val="24"/>
              </w:rPr>
            </w:pPr>
            <w:r w:rsidRPr="0043196E">
              <w:rPr>
                <w:rFonts w:ascii="Times New Roman" w:hAnsi="Times New Roman" w:cs="Times New Roman"/>
                <w:szCs w:val="24"/>
              </w:rPr>
              <w:t>Термины/сокращения</w:t>
            </w:r>
          </w:p>
        </w:tc>
        <w:tc>
          <w:tcPr>
            <w:tcW w:w="6805" w:type="dxa"/>
            <w:tcBorders>
              <w:top w:val="single" w:sz="6" w:space="0" w:color="000000"/>
              <w:left w:val="single" w:sz="6" w:space="0" w:color="000000"/>
              <w:bottom w:val="single" w:sz="6" w:space="0" w:color="000000"/>
              <w:right w:val="single" w:sz="6" w:space="0" w:color="000000"/>
            </w:tcBorders>
            <w:shd w:val="clear" w:color="auto" w:fill="D9D9D9"/>
            <w:tcMar>
              <w:left w:w="23" w:type="dxa"/>
            </w:tcMar>
            <w:vAlign w:val="center"/>
          </w:tcPr>
          <w:p w:rsidR="0043196E" w:rsidRPr="0043196E" w:rsidRDefault="0043196E" w:rsidP="00906887">
            <w:pPr>
              <w:pStyle w:val="TableHeader"/>
              <w:spacing w:before="120" w:after="120" w:line="240" w:lineRule="auto"/>
              <w:ind w:left="-567"/>
              <w:rPr>
                <w:rFonts w:ascii="Times New Roman" w:hAnsi="Times New Roman" w:cs="Times New Roman"/>
                <w:szCs w:val="24"/>
              </w:rPr>
            </w:pPr>
            <w:r w:rsidRPr="0043196E">
              <w:rPr>
                <w:rFonts w:ascii="Times New Roman" w:hAnsi="Times New Roman" w:cs="Times New Roman"/>
                <w:szCs w:val="24"/>
              </w:rPr>
              <w:t>Определения</w:t>
            </w:r>
          </w:p>
        </w:tc>
      </w:tr>
      <w:tr w:rsidR="0043196E" w:rsidRPr="0043196E" w:rsidTr="00906887">
        <w:tc>
          <w:tcPr>
            <w:tcW w:w="9924" w:type="dxa"/>
            <w:gridSpan w:val="2"/>
            <w:tcBorders>
              <w:top w:val="single" w:sz="6" w:space="0" w:color="000000"/>
              <w:left w:val="single" w:sz="6" w:space="0" w:color="000000"/>
              <w:bottom w:val="single" w:sz="6" w:space="0" w:color="000000"/>
              <w:right w:val="single" w:sz="6" w:space="0" w:color="000000"/>
            </w:tcBorders>
            <w:shd w:val="clear" w:color="auto" w:fill="D9D9D9"/>
            <w:tcMar>
              <w:left w:w="23" w:type="dxa"/>
            </w:tcMar>
          </w:tcPr>
          <w:p w:rsidR="0043196E" w:rsidRPr="0043196E" w:rsidRDefault="0043196E" w:rsidP="00906887">
            <w:pPr>
              <w:pStyle w:val="TableSubheader"/>
              <w:jc w:val="left"/>
              <w:rPr>
                <w:rFonts w:ascii="Times New Roman" w:hAnsi="Times New Roman" w:cs="Times New Roman"/>
                <w:szCs w:val="24"/>
              </w:rPr>
            </w:pPr>
            <w:r w:rsidRPr="0043196E">
              <w:rPr>
                <w:rFonts w:ascii="Times New Roman" w:hAnsi="Times New Roman" w:cs="Times New Roman"/>
                <w:bCs/>
                <w:szCs w:val="24"/>
              </w:rPr>
              <w:t>Вводимые определения:</w:t>
            </w:r>
          </w:p>
        </w:tc>
      </w:tr>
      <w:tr w:rsidR="0043196E" w:rsidRPr="0043196E" w:rsidTr="00906887">
        <w:tc>
          <w:tcPr>
            <w:tcW w:w="3119"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rPr>
                <w:rFonts w:ascii="Times New Roman" w:hAnsi="Times New Roman" w:cs="Times New Roman"/>
                <w:szCs w:val="24"/>
              </w:rPr>
            </w:pPr>
            <w:r w:rsidRPr="0043196E">
              <w:rPr>
                <w:rFonts w:ascii="Times New Roman" w:hAnsi="Times New Roman" w:cs="Times New Roman"/>
                <w:szCs w:val="24"/>
              </w:rPr>
              <w:t>Финансово-экономическая экспертиза</w:t>
            </w:r>
          </w:p>
        </w:tc>
        <w:tc>
          <w:tcPr>
            <w:tcW w:w="6805"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tabs>
                <w:tab w:val="left" w:pos="2604"/>
              </w:tabs>
              <w:ind w:right="120"/>
              <w:jc w:val="both"/>
              <w:rPr>
                <w:rFonts w:ascii="Times New Roman" w:hAnsi="Times New Roman" w:cs="Times New Roman"/>
                <w:szCs w:val="24"/>
              </w:rPr>
            </w:pPr>
            <w:r w:rsidRPr="0043196E">
              <w:rPr>
                <w:rFonts w:ascii="Times New Roman" w:hAnsi="Times New Roman" w:cs="Times New Roman"/>
                <w:szCs w:val="24"/>
              </w:rPr>
              <w:t>Оценка устойчивости участников закупочных процедур с позиции финансово-экономических критериев, проводимая для определения соответствия и ранжирования предложений участников закупочных процедур в рамках деятельности экспертной группы и/или закупочной комиссии Общества</w:t>
            </w:r>
          </w:p>
        </w:tc>
      </w:tr>
      <w:tr w:rsidR="0043196E" w:rsidRPr="0043196E" w:rsidTr="00906887">
        <w:tc>
          <w:tcPr>
            <w:tcW w:w="9924" w:type="dxa"/>
            <w:gridSpan w:val="2"/>
            <w:tcBorders>
              <w:top w:val="single" w:sz="6" w:space="0" w:color="000000"/>
              <w:left w:val="single" w:sz="6" w:space="0" w:color="000000"/>
              <w:bottom w:val="single" w:sz="6" w:space="0" w:color="000000"/>
              <w:right w:val="single" w:sz="6" w:space="0" w:color="000000"/>
            </w:tcBorders>
            <w:shd w:val="clear" w:color="auto" w:fill="D9D9D9"/>
            <w:tcMar>
              <w:left w:w="23" w:type="dxa"/>
            </w:tcMar>
          </w:tcPr>
          <w:p w:rsidR="0043196E" w:rsidRPr="0043196E" w:rsidRDefault="0043196E" w:rsidP="00906887">
            <w:pPr>
              <w:pStyle w:val="TableSubheader"/>
              <w:jc w:val="left"/>
              <w:rPr>
                <w:rFonts w:ascii="Times New Roman" w:hAnsi="Times New Roman" w:cs="Times New Roman"/>
                <w:szCs w:val="24"/>
              </w:rPr>
            </w:pPr>
            <w:r w:rsidRPr="0043196E">
              <w:rPr>
                <w:rFonts w:ascii="Times New Roman" w:hAnsi="Times New Roman" w:cs="Times New Roman"/>
                <w:bCs/>
                <w:color w:val="auto"/>
                <w:szCs w:val="24"/>
              </w:rPr>
              <w:t>Действующие определения:</w:t>
            </w:r>
          </w:p>
        </w:tc>
      </w:tr>
      <w:tr w:rsidR="0043196E" w:rsidRPr="0043196E" w:rsidTr="00906887">
        <w:tc>
          <w:tcPr>
            <w:tcW w:w="3119"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tabs>
                <w:tab w:val="left" w:pos="2010"/>
              </w:tabs>
              <w:rPr>
                <w:rFonts w:ascii="Times New Roman" w:hAnsi="Times New Roman" w:cs="Times New Roman"/>
                <w:szCs w:val="24"/>
                <w:highlight w:val="yellow"/>
              </w:rPr>
            </w:pPr>
            <w:r w:rsidRPr="0043196E">
              <w:rPr>
                <w:rFonts w:ascii="Times New Roman" w:hAnsi="Times New Roman" w:cs="Times New Roman"/>
                <w:szCs w:val="24"/>
              </w:rPr>
              <w:t>Группа «Интер РАО» (Группа)</w:t>
            </w:r>
          </w:p>
        </w:tc>
        <w:tc>
          <w:tcPr>
            <w:tcW w:w="6805"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tabs>
                <w:tab w:val="left" w:pos="2604"/>
              </w:tabs>
              <w:ind w:right="120"/>
              <w:jc w:val="both"/>
              <w:rPr>
                <w:rFonts w:ascii="Times New Roman" w:hAnsi="Times New Roman" w:cs="Times New Roman"/>
                <w:szCs w:val="24"/>
              </w:rPr>
            </w:pPr>
            <w:r w:rsidRPr="0043196E">
              <w:rPr>
                <w:rFonts w:ascii="Times New Roman" w:hAnsi="Times New Roman" w:cs="Times New Roman"/>
                <w:szCs w:val="24"/>
              </w:rPr>
              <w:t>ПАО «Интер РАО» и его ДО</w:t>
            </w:r>
          </w:p>
        </w:tc>
      </w:tr>
      <w:tr w:rsidR="0043196E" w:rsidRPr="0043196E" w:rsidTr="00906887">
        <w:tc>
          <w:tcPr>
            <w:tcW w:w="3119"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tabs>
                <w:tab w:val="left" w:pos="2010"/>
              </w:tabs>
              <w:rPr>
                <w:rFonts w:ascii="Times New Roman" w:hAnsi="Times New Roman" w:cs="Times New Roman"/>
                <w:szCs w:val="24"/>
              </w:rPr>
            </w:pPr>
            <w:r w:rsidRPr="0043196E">
              <w:rPr>
                <w:rFonts w:ascii="Times New Roman" w:hAnsi="Times New Roman" w:cs="Times New Roman"/>
                <w:szCs w:val="24"/>
              </w:rPr>
              <w:t>Дочернее общество / ДО</w:t>
            </w:r>
          </w:p>
        </w:tc>
        <w:tc>
          <w:tcPr>
            <w:tcW w:w="6805"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tabs>
                <w:tab w:val="left" w:pos="2604"/>
              </w:tabs>
              <w:ind w:right="120"/>
              <w:jc w:val="both"/>
              <w:rPr>
                <w:rFonts w:ascii="Times New Roman" w:hAnsi="Times New Roman" w:cs="Times New Roman"/>
                <w:szCs w:val="24"/>
              </w:rPr>
            </w:pPr>
            <w:r w:rsidRPr="0043196E">
              <w:rPr>
                <w:rFonts w:ascii="Times New Roman" w:hAnsi="Times New Roman" w:cs="Times New Roman"/>
                <w:szCs w:val="24"/>
              </w:rPr>
              <w:t>Хозяйственное общество, в котором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tc>
      </w:tr>
      <w:tr w:rsidR="0043196E" w:rsidRPr="0043196E" w:rsidTr="00906887">
        <w:tc>
          <w:tcPr>
            <w:tcW w:w="3119"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tabs>
                <w:tab w:val="left" w:pos="2010"/>
              </w:tabs>
              <w:rPr>
                <w:rFonts w:ascii="Times New Roman" w:hAnsi="Times New Roman" w:cs="Times New Roman"/>
                <w:szCs w:val="24"/>
              </w:rPr>
            </w:pPr>
            <w:r w:rsidRPr="0043196E">
              <w:rPr>
                <w:rFonts w:ascii="Times New Roman" w:hAnsi="Times New Roman" w:cs="Times New Roman"/>
                <w:szCs w:val="24"/>
              </w:rPr>
              <w:t>Закупка (процедура закупки, закупочная процедура)</w:t>
            </w:r>
          </w:p>
        </w:tc>
        <w:tc>
          <w:tcPr>
            <w:tcW w:w="6805"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tabs>
                <w:tab w:val="left" w:pos="2604"/>
              </w:tabs>
              <w:ind w:right="120"/>
              <w:jc w:val="both"/>
              <w:rPr>
                <w:rFonts w:ascii="Times New Roman" w:hAnsi="Times New Roman" w:cs="Times New Roman"/>
                <w:szCs w:val="24"/>
              </w:rPr>
            </w:pPr>
            <w:r w:rsidRPr="0043196E">
              <w:rPr>
                <w:rFonts w:ascii="Times New Roman" w:hAnsi="Times New Roman" w:cs="Times New Roman"/>
                <w:szCs w:val="24"/>
              </w:rPr>
              <w:t>Последовательность действий, осуществляемая в соответствии с локальными нормативными актами Общества и правилами, установленными закупочной документацией (при ее наличии), в результате которой производится выбор контрагента с целью заключения договора о приобретении товаров, работ, услуг</w:t>
            </w:r>
          </w:p>
        </w:tc>
      </w:tr>
      <w:tr w:rsidR="0043196E" w:rsidRPr="0043196E" w:rsidTr="00906887">
        <w:tc>
          <w:tcPr>
            <w:tcW w:w="3119" w:type="dxa"/>
            <w:tcBorders>
              <w:top w:val="single" w:sz="6" w:space="0" w:color="000000"/>
              <w:left w:val="single" w:sz="6" w:space="0" w:color="000000"/>
              <w:bottom w:val="single" w:sz="6" w:space="0" w:color="000000"/>
              <w:right w:val="single" w:sz="6" w:space="0" w:color="000000"/>
            </w:tcBorders>
            <w:shd w:val="clear" w:color="auto" w:fill="auto"/>
            <w:tcMar>
              <w:left w:w="23" w:type="dxa"/>
            </w:tcMar>
          </w:tcPr>
          <w:p w:rsidR="0043196E" w:rsidRPr="0043196E" w:rsidRDefault="0043196E" w:rsidP="00906887">
            <w:pPr>
              <w:pStyle w:val="TableText"/>
              <w:tabs>
                <w:tab w:val="left" w:pos="2010"/>
              </w:tabs>
              <w:rPr>
                <w:rFonts w:ascii="Times New Roman" w:hAnsi="Times New Roman" w:cs="Times New Roman"/>
                <w:szCs w:val="24"/>
              </w:rPr>
            </w:pPr>
            <w:r w:rsidRPr="0043196E">
              <w:rPr>
                <w:rFonts w:ascii="Times New Roman" w:hAnsi="Times New Roman" w:cs="Times New Roman"/>
                <w:szCs w:val="24"/>
              </w:rPr>
              <w:t>Кредитный риск</w:t>
            </w:r>
          </w:p>
        </w:tc>
        <w:tc>
          <w:tcPr>
            <w:tcW w:w="6805"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tabs>
                <w:tab w:val="left" w:pos="2604"/>
              </w:tabs>
              <w:ind w:right="120"/>
              <w:jc w:val="both"/>
              <w:rPr>
                <w:rFonts w:ascii="Times New Roman" w:hAnsi="Times New Roman" w:cs="Times New Roman"/>
                <w:szCs w:val="24"/>
              </w:rPr>
            </w:pPr>
            <w:r w:rsidRPr="0043196E">
              <w:rPr>
                <w:rFonts w:ascii="Times New Roman" w:hAnsi="Times New Roman" w:cs="Times New Roman"/>
                <w:szCs w:val="24"/>
              </w:rPr>
              <w:t>Риск потерь вследствие неисполнения или ненадлежащего исполнения контрагентами Общества своих финансовых обязательств</w:t>
            </w:r>
          </w:p>
        </w:tc>
      </w:tr>
      <w:tr w:rsidR="0043196E" w:rsidRPr="0043196E" w:rsidTr="00906887">
        <w:tc>
          <w:tcPr>
            <w:tcW w:w="3119"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tabs>
                <w:tab w:val="left" w:pos="2010"/>
              </w:tabs>
              <w:rPr>
                <w:rFonts w:ascii="Times New Roman" w:hAnsi="Times New Roman" w:cs="Times New Roman"/>
                <w:szCs w:val="24"/>
                <w:highlight w:val="yellow"/>
              </w:rPr>
            </w:pPr>
            <w:r w:rsidRPr="0043196E">
              <w:rPr>
                <w:rFonts w:ascii="Times New Roman" w:hAnsi="Times New Roman" w:cs="Times New Roman"/>
                <w:szCs w:val="24"/>
              </w:rPr>
              <w:t>Общество</w:t>
            </w:r>
          </w:p>
        </w:tc>
        <w:tc>
          <w:tcPr>
            <w:tcW w:w="6805"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tabs>
                <w:tab w:val="left" w:pos="2604"/>
              </w:tabs>
              <w:ind w:right="120"/>
              <w:jc w:val="both"/>
              <w:rPr>
                <w:rFonts w:ascii="Times New Roman" w:hAnsi="Times New Roman" w:cs="Times New Roman"/>
                <w:szCs w:val="24"/>
              </w:rPr>
            </w:pPr>
            <w:r w:rsidRPr="0043196E">
              <w:rPr>
                <w:rFonts w:ascii="Times New Roman" w:hAnsi="Times New Roman" w:cs="Times New Roman"/>
                <w:szCs w:val="24"/>
              </w:rPr>
              <w:t>ПАО «Томскэнергосбыт»</w:t>
            </w:r>
          </w:p>
        </w:tc>
      </w:tr>
      <w:tr w:rsidR="0043196E" w:rsidRPr="0043196E" w:rsidTr="00906887">
        <w:tc>
          <w:tcPr>
            <w:tcW w:w="3119"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tabs>
                <w:tab w:val="left" w:pos="2010"/>
              </w:tabs>
              <w:rPr>
                <w:rFonts w:ascii="Times New Roman" w:hAnsi="Times New Roman" w:cs="Times New Roman"/>
                <w:szCs w:val="24"/>
              </w:rPr>
            </w:pPr>
            <w:r w:rsidRPr="0043196E">
              <w:rPr>
                <w:rFonts w:ascii="Times New Roman" w:hAnsi="Times New Roman" w:cs="Times New Roman"/>
                <w:szCs w:val="24"/>
              </w:rPr>
              <w:t>Риск-фактор*</w:t>
            </w:r>
          </w:p>
        </w:tc>
        <w:tc>
          <w:tcPr>
            <w:tcW w:w="6805"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tabs>
                <w:tab w:val="left" w:pos="2604"/>
              </w:tabs>
              <w:ind w:right="120"/>
              <w:jc w:val="both"/>
              <w:rPr>
                <w:rFonts w:ascii="Times New Roman" w:hAnsi="Times New Roman" w:cs="Times New Roman"/>
                <w:szCs w:val="24"/>
              </w:rPr>
            </w:pPr>
            <w:r w:rsidRPr="0043196E">
              <w:rPr>
                <w:rFonts w:ascii="Times New Roman" w:hAnsi="Times New Roman" w:cs="Times New Roman"/>
                <w:szCs w:val="24"/>
              </w:rPr>
              <w:t>Фактор, реализация которого может являться основанием для понижения итоговой оценки финансово-экономической устойчивости</w:t>
            </w:r>
          </w:p>
        </w:tc>
      </w:tr>
      <w:tr w:rsidR="0043196E" w:rsidRPr="0043196E" w:rsidTr="00906887">
        <w:tc>
          <w:tcPr>
            <w:tcW w:w="3119"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tabs>
                <w:tab w:val="left" w:pos="2010"/>
              </w:tabs>
              <w:rPr>
                <w:rFonts w:ascii="Times New Roman" w:hAnsi="Times New Roman" w:cs="Times New Roman"/>
                <w:szCs w:val="24"/>
              </w:rPr>
            </w:pPr>
            <w:r w:rsidRPr="0043196E">
              <w:rPr>
                <w:rFonts w:ascii="Times New Roman" w:hAnsi="Times New Roman" w:cs="Times New Roman"/>
                <w:szCs w:val="24"/>
              </w:rPr>
              <w:t>Стоп-фактор*</w:t>
            </w:r>
          </w:p>
        </w:tc>
        <w:tc>
          <w:tcPr>
            <w:tcW w:w="6805"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tabs>
                <w:tab w:val="left" w:pos="2604"/>
              </w:tabs>
              <w:ind w:right="120"/>
              <w:jc w:val="both"/>
              <w:rPr>
                <w:rFonts w:ascii="Times New Roman" w:hAnsi="Times New Roman" w:cs="Times New Roman"/>
                <w:szCs w:val="24"/>
              </w:rPr>
            </w:pPr>
            <w:r w:rsidRPr="0043196E">
              <w:rPr>
                <w:rFonts w:ascii="Times New Roman" w:hAnsi="Times New Roman" w:cs="Times New Roman"/>
                <w:szCs w:val="24"/>
              </w:rPr>
              <w:t>Фактор, реализация которого должна являться основанием для отклонения предложения участника закупочной процедуры и принятия решения о несоответствии</w:t>
            </w:r>
          </w:p>
        </w:tc>
      </w:tr>
      <w:tr w:rsidR="0043196E" w:rsidRPr="0043196E" w:rsidTr="00906887">
        <w:tc>
          <w:tcPr>
            <w:tcW w:w="3119"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tabs>
                <w:tab w:val="left" w:pos="2010"/>
              </w:tabs>
              <w:rPr>
                <w:rFonts w:ascii="Times New Roman" w:hAnsi="Times New Roman" w:cs="Times New Roman"/>
                <w:szCs w:val="24"/>
              </w:rPr>
            </w:pPr>
            <w:r w:rsidRPr="0043196E">
              <w:rPr>
                <w:rFonts w:ascii="Times New Roman" w:hAnsi="Times New Roman" w:cs="Times New Roman"/>
                <w:szCs w:val="24"/>
              </w:rPr>
              <w:t>Участник закупки</w:t>
            </w:r>
          </w:p>
        </w:tc>
        <w:tc>
          <w:tcPr>
            <w:tcW w:w="6805" w:type="dxa"/>
            <w:tcBorders>
              <w:top w:val="single" w:sz="6" w:space="0" w:color="000000"/>
              <w:left w:val="single" w:sz="6" w:space="0" w:color="000000"/>
              <w:bottom w:val="single" w:sz="6" w:space="0" w:color="000000"/>
              <w:right w:val="single" w:sz="6" w:space="0" w:color="000000"/>
            </w:tcBorders>
            <w:tcMar>
              <w:left w:w="23" w:type="dxa"/>
            </w:tcMar>
          </w:tcPr>
          <w:p w:rsidR="0043196E" w:rsidRPr="0043196E" w:rsidRDefault="0043196E" w:rsidP="00906887">
            <w:pPr>
              <w:pStyle w:val="TableText"/>
              <w:tabs>
                <w:tab w:val="left" w:pos="2604"/>
              </w:tabs>
              <w:ind w:right="120"/>
              <w:jc w:val="both"/>
              <w:rPr>
                <w:rFonts w:ascii="Times New Roman" w:hAnsi="Times New Roman" w:cs="Times New Roman"/>
                <w:szCs w:val="24"/>
              </w:rPr>
            </w:pPr>
            <w:r w:rsidRPr="0043196E">
              <w:rPr>
                <w:rFonts w:ascii="Times New Roman" w:hAnsi="Times New Roman" w:cs="Times New Roman"/>
                <w:szCs w:val="24"/>
              </w:rPr>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в закупочной документации в соответствии с Положением о закупке</w:t>
            </w:r>
          </w:p>
        </w:tc>
      </w:tr>
    </w:tbl>
    <w:p w:rsidR="0043196E" w:rsidRPr="0043196E" w:rsidRDefault="0043196E" w:rsidP="0043196E">
      <w:pPr>
        <w:spacing w:after="120"/>
        <w:ind w:left="-567"/>
        <w:rPr>
          <w:rFonts w:ascii="Times New Roman" w:eastAsia="Arial" w:hAnsi="Times New Roman" w:cs="Times New Roman"/>
          <w:color w:val="000000"/>
          <w:sz w:val="24"/>
          <w:szCs w:val="24"/>
        </w:rPr>
      </w:pPr>
      <w:r w:rsidRPr="0043196E">
        <w:rPr>
          <w:rFonts w:ascii="Times New Roman" w:eastAsia="Arial" w:hAnsi="Times New Roman" w:cs="Times New Roman"/>
          <w:color w:val="000000"/>
          <w:sz w:val="24"/>
          <w:szCs w:val="24"/>
        </w:rPr>
        <w:t>*используется только для данного ВНД и не является частью Корпоративного глоссария</w:t>
      </w:r>
    </w:p>
    <w:p w:rsidR="0043196E" w:rsidRPr="00906887" w:rsidRDefault="00906887" w:rsidP="00906887">
      <w:pPr>
        <w:pStyle w:val="1"/>
        <w:ind w:left="-567" w:hanging="709"/>
        <w:rPr>
          <w:rFonts w:ascii="Times New Roman" w:hAnsi="Times New Roman" w:cs="Times New Roman"/>
          <w:sz w:val="24"/>
        </w:rPr>
      </w:pPr>
      <w:bookmarkStart w:id="1" w:name="_Toc519591602"/>
      <w:r w:rsidRPr="00906887">
        <w:rPr>
          <w:rFonts w:ascii="Times New Roman" w:hAnsi="Times New Roman" w:cs="Times New Roman"/>
          <w:sz w:val="24"/>
        </w:rPr>
        <w:lastRenderedPageBreak/>
        <w:t xml:space="preserve">2. </w:t>
      </w:r>
      <w:r w:rsidR="0043196E" w:rsidRPr="00906887">
        <w:rPr>
          <w:rFonts w:ascii="Times New Roman" w:hAnsi="Times New Roman" w:cs="Times New Roman"/>
          <w:sz w:val="24"/>
        </w:rPr>
        <w:t>Нормативные ссылки</w:t>
      </w:r>
      <w:bookmarkEnd w:id="1"/>
    </w:p>
    <w:p w:rsidR="0043196E" w:rsidRPr="0043196E" w:rsidRDefault="0043196E" w:rsidP="0043196E">
      <w:pPr>
        <w:pStyle w:val="aa"/>
        <w:numPr>
          <w:ilvl w:val="0"/>
          <w:numId w:val="3"/>
        </w:numPr>
        <w:ind w:left="-567"/>
        <w:jc w:val="both"/>
      </w:pPr>
      <w:r w:rsidRPr="0043196E">
        <w:t>Локальные нормативные акты, регламентирующие закупочную деятельность Общества.</w:t>
      </w:r>
    </w:p>
    <w:p w:rsidR="0043196E" w:rsidRPr="0043196E" w:rsidRDefault="0043196E" w:rsidP="0043196E">
      <w:pPr>
        <w:pStyle w:val="aa"/>
        <w:numPr>
          <w:ilvl w:val="0"/>
          <w:numId w:val="3"/>
        </w:numPr>
        <w:ind w:left="-567"/>
        <w:jc w:val="both"/>
      </w:pPr>
      <w:r w:rsidRPr="0043196E">
        <w:t>Федеральный закон от 18.07.2011 № 223-ФЗ «О закупках товаров, работ, услуг отдельными видами юридических лиц».</w:t>
      </w:r>
    </w:p>
    <w:p w:rsidR="0043196E" w:rsidRPr="0043196E" w:rsidRDefault="0043196E" w:rsidP="0043196E">
      <w:pPr>
        <w:pStyle w:val="aa"/>
        <w:numPr>
          <w:ilvl w:val="0"/>
          <w:numId w:val="3"/>
        </w:numPr>
        <w:ind w:left="-567"/>
        <w:jc w:val="both"/>
      </w:pPr>
      <w:r w:rsidRPr="0043196E">
        <w:t>Федеральный закон от 31.12.2017 № 505-ФЗ «О внесении изменений в отдельные законодательные акты российской Федерации».</w:t>
      </w:r>
    </w:p>
    <w:p w:rsidR="0043196E" w:rsidRPr="0043196E" w:rsidRDefault="0043196E" w:rsidP="0043196E">
      <w:pPr>
        <w:ind w:left="-993"/>
        <w:jc w:val="both"/>
        <w:rPr>
          <w:rFonts w:ascii="Times New Roman" w:hAnsi="Times New Roman" w:cs="Times New Roman"/>
          <w:sz w:val="24"/>
          <w:szCs w:val="24"/>
        </w:rPr>
      </w:pPr>
    </w:p>
    <w:p w:rsidR="0043196E" w:rsidRPr="00906887" w:rsidRDefault="00906887" w:rsidP="00906887">
      <w:pPr>
        <w:pStyle w:val="2"/>
      </w:pPr>
      <w:bookmarkStart w:id="2" w:name="_Toc519591603"/>
      <w:r w:rsidRPr="00906887">
        <w:t xml:space="preserve">3. </w:t>
      </w:r>
      <w:r w:rsidR="0043196E" w:rsidRPr="00906887">
        <w:t>Назначение и область применения</w:t>
      </w:r>
      <w:bookmarkEnd w:id="2"/>
    </w:p>
    <w:p w:rsidR="0043196E" w:rsidRPr="0043196E" w:rsidRDefault="00F141EB" w:rsidP="00F141EB">
      <w:pPr>
        <w:pStyle w:val="aa"/>
        <w:ind w:left="-567" w:hanging="709"/>
        <w:jc w:val="both"/>
      </w:pPr>
      <w:bookmarkStart w:id="3" w:name="_Toc145470728"/>
      <w:bookmarkStart w:id="4" w:name="_Toc145758338"/>
      <w:bookmarkStart w:id="5" w:name="_Toc145758464"/>
      <w:bookmarkStart w:id="6" w:name="_Toc145758988"/>
      <w:bookmarkStart w:id="7" w:name="_Toc145759251"/>
      <w:bookmarkStart w:id="8" w:name="_Toc145760285"/>
      <w:bookmarkStart w:id="9" w:name="_Toc162934410"/>
      <w:r>
        <w:t xml:space="preserve">3.1. </w:t>
      </w:r>
      <w:r w:rsidR="0043196E" w:rsidRPr="0043196E">
        <w:t>Назначение</w:t>
      </w:r>
      <w:bookmarkEnd w:id="3"/>
      <w:bookmarkEnd w:id="4"/>
      <w:bookmarkEnd w:id="5"/>
      <w:bookmarkEnd w:id="6"/>
      <w:bookmarkEnd w:id="7"/>
      <w:bookmarkEnd w:id="8"/>
      <w:bookmarkEnd w:id="9"/>
    </w:p>
    <w:p w:rsidR="0043196E" w:rsidRPr="0043196E" w:rsidRDefault="0043196E" w:rsidP="0043196E">
      <w:pPr>
        <w:numPr>
          <w:ilvl w:val="0"/>
          <w:numId w:val="2"/>
        </w:numPr>
        <w:spacing w:after="0" w:line="240" w:lineRule="auto"/>
        <w:ind w:left="-567"/>
        <w:jc w:val="both"/>
        <w:rPr>
          <w:rFonts w:ascii="Times New Roman" w:hAnsi="Times New Roman" w:cs="Times New Roman"/>
          <w:sz w:val="24"/>
          <w:szCs w:val="24"/>
        </w:rPr>
      </w:pPr>
      <w:bookmarkStart w:id="10" w:name="_Toc322961172"/>
      <w:bookmarkStart w:id="11" w:name="_Toc326066007"/>
      <w:bookmarkStart w:id="12" w:name="_Toc326066277"/>
      <w:r w:rsidRPr="0043196E">
        <w:rPr>
          <w:rFonts w:ascii="Times New Roman" w:hAnsi="Times New Roman" w:cs="Times New Roman"/>
          <w:sz w:val="24"/>
          <w:szCs w:val="24"/>
        </w:rPr>
        <w:t>Экспертиза финансово-экономической устойчивости участников закупочных процедур, а также предлагаемых ими финансовых условий сделки (финансово-экономическая экспертиза) проводится Обществом в рамках закупочной деятельности во избежание потерь и с целью ограничения подверженности Общества кредитному риску, в том числе для выявления и отклонения таких участников конкурентных закупочных процедур, которые заведомо неспособны исполнить свои обязательства.</w:t>
      </w:r>
      <w:bookmarkEnd w:id="10"/>
      <w:bookmarkEnd w:id="11"/>
      <w:bookmarkEnd w:id="12"/>
    </w:p>
    <w:p w:rsidR="0043196E" w:rsidRPr="0043196E" w:rsidRDefault="0043196E" w:rsidP="0043196E">
      <w:pPr>
        <w:numPr>
          <w:ilvl w:val="0"/>
          <w:numId w:val="2"/>
        </w:numPr>
        <w:spacing w:after="0" w:line="240" w:lineRule="auto"/>
        <w:ind w:left="-567"/>
        <w:jc w:val="both"/>
        <w:rPr>
          <w:rFonts w:ascii="Times New Roman" w:hAnsi="Times New Roman" w:cs="Times New Roman"/>
          <w:sz w:val="24"/>
          <w:szCs w:val="24"/>
        </w:rPr>
      </w:pPr>
      <w:bookmarkStart w:id="13" w:name="_Toc322961173"/>
      <w:bookmarkStart w:id="14" w:name="_Toc326066008"/>
      <w:bookmarkStart w:id="15" w:name="_Toc326066278"/>
      <w:r w:rsidRPr="0043196E">
        <w:rPr>
          <w:rFonts w:ascii="Times New Roman" w:hAnsi="Times New Roman" w:cs="Times New Roman"/>
          <w:sz w:val="24"/>
          <w:szCs w:val="24"/>
        </w:rPr>
        <w:t>Настоящая 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полученных экспертными группами и/или закупочными комиссиями, повышение обоснованности принимаемых управленческих решений по ранжированию предложений участников и выбору победителя конкурентной закупочной процедуры.</w:t>
      </w:r>
      <w:bookmarkEnd w:id="13"/>
      <w:bookmarkEnd w:id="14"/>
      <w:bookmarkEnd w:id="15"/>
    </w:p>
    <w:p w:rsidR="0043196E" w:rsidRPr="0043196E" w:rsidRDefault="00F141EB" w:rsidP="00F141EB">
      <w:pPr>
        <w:pStyle w:val="aa"/>
        <w:spacing w:before="120" w:after="120"/>
        <w:ind w:left="-567" w:hanging="709"/>
      </w:pPr>
      <w:bookmarkStart w:id="16" w:name="_Toc326066009"/>
      <w:bookmarkStart w:id="17" w:name="_Toc326066279"/>
      <w:r>
        <w:t xml:space="preserve">3.2. </w:t>
      </w:r>
      <w:r w:rsidR="0043196E" w:rsidRPr="0043196E">
        <w:t>Методика устанавливает набор и значимость отборочных и оценочных критериев при проведении финансово-экономической экспертизы.</w:t>
      </w:r>
      <w:bookmarkEnd w:id="16"/>
      <w:bookmarkEnd w:id="17"/>
    </w:p>
    <w:p w:rsidR="0043196E" w:rsidRPr="0043196E" w:rsidRDefault="00F141EB" w:rsidP="00F141EB">
      <w:pPr>
        <w:pStyle w:val="aa"/>
        <w:ind w:left="-567" w:hanging="709"/>
        <w:jc w:val="both"/>
      </w:pPr>
      <w:r>
        <w:t xml:space="preserve">3.3. </w:t>
      </w:r>
      <w:r w:rsidR="0043196E" w:rsidRPr="0043196E">
        <w:t>Область применения</w:t>
      </w:r>
    </w:p>
    <w:p w:rsidR="0043196E" w:rsidRPr="0043196E" w:rsidRDefault="0043196E" w:rsidP="0043196E">
      <w:pPr>
        <w:numPr>
          <w:ilvl w:val="0"/>
          <w:numId w:val="2"/>
        </w:numPr>
        <w:spacing w:after="0" w:line="240" w:lineRule="auto"/>
        <w:ind w:left="-567"/>
        <w:jc w:val="both"/>
        <w:rPr>
          <w:rFonts w:ascii="Times New Roman" w:hAnsi="Times New Roman" w:cs="Times New Roman"/>
          <w:sz w:val="24"/>
          <w:szCs w:val="24"/>
        </w:rPr>
      </w:pPr>
      <w:bookmarkStart w:id="18" w:name="_Toc322961174"/>
      <w:bookmarkStart w:id="19" w:name="_Toc326066010"/>
      <w:bookmarkStart w:id="20" w:name="_Toc326066280"/>
      <w:r w:rsidRPr="0043196E">
        <w:rPr>
          <w:rFonts w:ascii="Times New Roman" w:hAnsi="Times New Roman" w:cs="Times New Roman"/>
          <w:sz w:val="24"/>
          <w:szCs w:val="24"/>
        </w:rPr>
        <w:t>Методика применяется работником Общества, привлеченным для оценки финансово-экономической устойчивости участников закупочной процедуры в рамках деятельности экспертной группы и/или закупочной комиссии по оценке и ранжированию предложений участников закупочной процедуры (далее - Эксперт).</w:t>
      </w:r>
      <w:bookmarkEnd w:id="18"/>
      <w:bookmarkEnd w:id="19"/>
      <w:bookmarkEnd w:id="20"/>
    </w:p>
    <w:p w:rsidR="0043196E" w:rsidRPr="0043196E" w:rsidRDefault="0043196E" w:rsidP="0043196E">
      <w:pPr>
        <w:numPr>
          <w:ilvl w:val="0"/>
          <w:numId w:val="2"/>
        </w:numPr>
        <w:spacing w:after="0" w:line="240" w:lineRule="auto"/>
        <w:ind w:left="-567"/>
        <w:jc w:val="both"/>
        <w:rPr>
          <w:rFonts w:ascii="Times New Roman" w:hAnsi="Times New Roman" w:cs="Times New Roman"/>
          <w:b/>
          <w:bCs/>
          <w:sz w:val="24"/>
          <w:szCs w:val="24"/>
        </w:rPr>
      </w:pPr>
      <w:bookmarkStart w:id="21" w:name="_Toc322961175"/>
      <w:bookmarkStart w:id="22" w:name="_Toc326066011"/>
      <w:bookmarkStart w:id="23" w:name="_Toc326066281"/>
      <w:r w:rsidRPr="0043196E">
        <w:rPr>
          <w:rFonts w:ascii="Times New Roman" w:hAnsi="Times New Roman" w:cs="Times New Roman"/>
          <w:sz w:val="24"/>
          <w:szCs w:val="24"/>
        </w:rPr>
        <w:t>Действие Методики распространяется на:</w:t>
      </w:r>
    </w:p>
    <w:p w:rsidR="0043196E" w:rsidRPr="0043196E" w:rsidRDefault="0043196E" w:rsidP="0043196E">
      <w:pPr>
        <w:numPr>
          <w:ilvl w:val="0"/>
          <w:numId w:val="5"/>
        </w:numPr>
        <w:spacing w:after="0" w:line="240" w:lineRule="auto"/>
        <w:ind w:left="0"/>
        <w:jc w:val="both"/>
        <w:rPr>
          <w:rFonts w:ascii="Times New Roman" w:hAnsi="Times New Roman" w:cs="Times New Roman"/>
          <w:b/>
          <w:bCs/>
          <w:sz w:val="24"/>
          <w:szCs w:val="24"/>
        </w:rPr>
      </w:pPr>
      <w:r w:rsidRPr="0043196E">
        <w:rPr>
          <w:rFonts w:ascii="Times New Roman" w:hAnsi="Times New Roman" w:cs="Times New Roman"/>
          <w:sz w:val="24"/>
          <w:szCs w:val="24"/>
        </w:rPr>
        <w:t>работников Общества, привлеченных в качестве Экспертов для проведения экспертизы финансово-экономической устойчивости участников закупочных процедур,</w:t>
      </w:r>
    </w:p>
    <w:p w:rsidR="0043196E" w:rsidRPr="0043196E" w:rsidRDefault="0043196E" w:rsidP="0043196E">
      <w:pPr>
        <w:numPr>
          <w:ilvl w:val="0"/>
          <w:numId w:val="5"/>
        </w:numPr>
        <w:spacing w:after="0" w:line="240" w:lineRule="auto"/>
        <w:ind w:left="0"/>
        <w:jc w:val="both"/>
        <w:rPr>
          <w:rFonts w:ascii="Times New Roman" w:hAnsi="Times New Roman" w:cs="Times New Roman"/>
          <w:b/>
          <w:bCs/>
          <w:sz w:val="24"/>
          <w:szCs w:val="24"/>
        </w:rPr>
      </w:pPr>
      <w:r w:rsidRPr="0043196E">
        <w:rPr>
          <w:rFonts w:ascii="Times New Roman" w:hAnsi="Times New Roman" w:cs="Times New Roman"/>
          <w:sz w:val="24"/>
          <w:szCs w:val="24"/>
        </w:rPr>
        <w:t>на работников, использующих результаты указанной экспертизы при ранжировании предложений участников закупочной процедуры (членов закупочной комиссии</w:t>
      </w:r>
      <w:bookmarkEnd w:id="21"/>
      <w:r w:rsidRPr="0043196E">
        <w:rPr>
          <w:rFonts w:ascii="Times New Roman" w:hAnsi="Times New Roman" w:cs="Times New Roman"/>
          <w:sz w:val="24"/>
          <w:szCs w:val="24"/>
        </w:rPr>
        <w:t xml:space="preserve"> Общества),</w:t>
      </w:r>
    </w:p>
    <w:p w:rsidR="0043196E" w:rsidRPr="0043196E" w:rsidRDefault="0043196E" w:rsidP="0043196E">
      <w:pPr>
        <w:numPr>
          <w:ilvl w:val="0"/>
          <w:numId w:val="5"/>
        </w:numPr>
        <w:spacing w:after="0" w:line="240" w:lineRule="auto"/>
        <w:ind w:left="0"/>
        <w:jc w:val="both"/>
        <w:rPr>
          <w:rFonts w:ascii="Times New Roman" w:hAnsi="Times New Roman" w:cs="Times New Roman"/>
          <w:b/>
          <w:bCs/>
          <w:sz w:val="24"/>
          <w:szCs w:val="24"/>
        </w:rPr>
      </w:pPr>
      <w:r w:rsidRPr="0043196E">
        <w:rPr>
          <w:rFonts w:ascii="Times New Roman" w:hAnsi="Times New Roman" w:cs="Times New Roman"/>
          <w:sz w:val="24"/>
          <w:szCs w:val="24"/>
        </w:rPr>
        <w:t xml:space="preserve"> на работников, осуществляющих последующий контроль и оценку эффективности мероприятий по проведению финансово-экономической экспертизы.</w:t>
      </w:r>
    </w:p>
    <w:p w:rsidR="0043196E" w:rsidRPr="0043196E" w:rsidRDefault="0043196E" w:rsidP="0043196E">
      <w:pPr>
        <w:numPr>
          <w:ilvl w:val="0"/>
          <w:numId w:val="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Разграничение функциональных ролей между экспертами по проведению финансово-экономической экспертизы, осуществлению последующего контроля и оценке эффективности мероприятий приводится в приложении 1 к Методике.</w:t>
      </w:r>
      <w:bookmarkEnd w:id="22"/>
      <w:bookmarkEnd w:id="23"/>
    </w:p>
    <w:p w:rsidR="0043196E" w:rsidRPr="0043196E" w:rsidRDefault="0043196E" w:rsidP="0043196E">
      <w:pPr>
        <w:numPr>
          <w:ilvl w:val="0"/>
          <w:numId w:val="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При заключении Обществом договоров без организации конкурентных закупочных процедур оценка финансовой устойчивости контрагента проводится в соответствии с настоящей Методикой согласно разграничению функциональных обязанностей по проведению финансово-экономической экспертизы, определённому Приложением 1 к Методике, и внутренними нормативными документами Группы.</w:t>
      </w:r>
    </w:p>
    <w:p w:rsidR="0043196E" w:rsidRPr="0043196E" w:rsidRDefault="0043196E" w:rsidP="0043196E">
      <w:pPr>
        <w:ind w:left="-567"/>
        <w:jc w:val="both"/>
        <w:rPr>
          <w:rFonts w:ascii="Times New Roman" w:hAnsi="Times New Roman" w:cs="Times New Roman"/>
          <w:sz w:val="24"/>
          <w:szCs w:val="24"/>
        </w:rPr>
      </w:pPr>
    </w:p>
    <w:p w:rsidR="0043196E" w:rsidRPr="0043196E" w:rsidRDefault="00906887" w:rsidP="00906887">
      <w:pPr>
        <w:pStyle w:val="2"/>
      </w:pPr>
      <w:bookmarkStart w:id="24" w:name="_Toc314226165"/>
      <w:bookmarkStart w:id="25" w:name="_Toc322961178"/>
      <w:bookmarkStart w:id="26" w:name="_Toc326066013"/>
      <w:bookmarkStart w:id="27" w:name="_Toc326066283"/>
      <w:bookmarkStart w:id="28" w:name="_Toc326067314"/>
      <w:bookmarkStart w:id="29" w:name="_Toc516132522"/>
      <w:bookmarkStart w:id="30" w:name="_Toc519591604"/>
      <w:r>
        <w:lastRenderedPageBreak/>
        <w:t xml:space="preserve">4. </w:t>
      </w:r>
      <w:r w:rsidR="0043196E" w:rsidRPr="0043196E">
        <w:t>Общие положения</w:t>
      </w:r>
      <w:bookmarkEnd w:id="24"/>
      <w:bookmarkEnd w:id="25"/>
      <w:bookmarkEnd w:id="26"/>
      <w:bookmarkEnd w:id="27"/>
      <w:bookmarkEnd w:id="28"/>
      <w:bookmarkEnd w:id="29"/>
      <w:bookmarkEnd w:id="30"/>
    </w:p>
    <w:p w:rsidR="0043196E" w:rsidRPr="0043196E" w:rsidRDefault="0043196E" w:rsidP="0043196E">
      <w:pPr>
        <w:numPr>
          <w:ilvl w:val="0"/>
          <w:numId w:val="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Оценка степени соответствия участника закупочной процедуры требованиям закупочной документации, в том числе настоящей Методики в рамках финансово-экономической экспертизы осуществляется с позиции финансово-экономических критериев и не охватывает юридических и технических вопросов.</w:t>
      </w:r>
    </w:p>
    <w:p w:rsidR="0043196E" w:rsidRPr="0043196E" w:rsidRDefault="0043196E" w:rsidP="0043196E">
      <w:pPr>
        <w:numPr>
          <w:ilvl w:val="0"/>
          <w:numId w:val="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Вес (степень значимости) финансово-экономической экспертизы, осуществляемой наряду с коммерческой, юридической, технической и, возможно, другими видами экспертиз, в итоговой оценке при ранжировании предложений участников конкурентной закупочной процедуры должен составлять не менее 10%.</w:t>
      </w:r>
    </w:p>
    <w:p w:rsidR="0043196E" w:rsidRPr="0043196E" w:rsidRDefault="0043196E" w:rsidP="0043196E">
      <w:pPr>
        <w:numPr>
          <w:ilvl w:val="0"/>
          <w:numId w:val="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Финансово-экономическая экспертиза согласно настоящей Методике является обязательной в рамках каждой закупочной процедуры, независимо от того проводилась ли оценка финансового состояния конкретных участников ранее (в рамках аккредитации или другой закупочной процедуры).</w:t>
      </w:r>
    </w:p>
    <w:p w:rsidR="0043196E" w:rsidRPr="0043196E" w:rsidRDefault="0043196E" w:rsidP="0043196E">
      <w:pPr>
        <w:numPr>
          <w:ilvl w:val="0"/>
          <w:numId w:val="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В рамках финансово-экономической экспертизы должно быть принято решение о том, способен ли участник закупочной процедуры в оценке с точки зрения финансово-экономических критериев осуществить необходимую поставку или оказать услугу. Кроме этого должна быть получена оценка о степени его соответствия минимально приемлемым, общим для всех закупочных процедур, требованиям, определенным настоящей Методикой, а также специфическим требованиям, установленным подразделением Общества, в интересах которого осуществляется закупка, и закрепленным в закупочной документации. Предложения участников конкурентных закупочных процедур, которые заведомо неспособны исполнить свои обязательства, должны быть отклонены.</w:t>
      </w:r>
    </w:p>
    <w:p w:rsidR="0043196E" w:rsidRPr="0043196E" w:rsidRDefault="0043196E" w:rsidP="0043196E">
      <w:pPr>
        <w:numPr>
          <w:ilvl w:val="0"/>
          <w:numId w:val="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Для определения соответствия финансово-экономического состояния участников закупочных процедур минимально приемлемым требованиям с учетом финансовых условий сделки (цены, условий оплаты, наличия обеспечения), а также для ранжирования участников между собой в зависимости от их финансового состояния применяется балльно-весовой метод.</w:t>
      </w:r>
    </w:p>
    <w:p w:rsidR="0043196E" w:rsidRPr="0043196E" w:rsidRDefault="0043196E" w:rsidP="0043196E">
      <w:pPr>
        <w:numPr>
          <w:ilvl w:val="0"/>
          <w:numId w:val="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В качестве критериев оценки для ранжирования участников используется набор максимально независимых финансовых показателей и показателей бизнес-риска. Каждому финансовому показателю в зависимости от принимаемого значения присваивается балл от 0 до 1, где 0 соответствует неудовлетворительному, а 1 – отличному значению финансового показателя. Показателям бизнес-риска также присваиваются баллы от 0 до 1. Сумма полученных баллов, умноженных на весовые коэффициенты, дает первичную оценку от 0 до 1 согласно которой ранжируются предложения участников закупочных процедур с учетом их финансовой устойчивости и предлагаемых финансовых условий сделки, а также принимается решение о соответствии требованиям закупочной документации, в том числе настоящей Методики.</w:t>
      </w:r>
    </w:p>
    <w:p w:rsidR="0043196E" w:rsidRPr="0043196E" w:rsidRDefault="0043196E" w:rsidP="0043196E">
      <w:pPr>
        <w:numPr>
          <w:ilvl w:val="0"/>
          <w:numId w:val="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Порядок применения положений настоящей Методики Экспертами в ходе проведения финансово-экономической экспертизы определен в Приложении 2 к Методике.</w:t>
      </w:r>
    </w:p>
    <w:p w:rsidR="0043196E" w:rsidRPr="0043196E" w:rsidRDefault="0043196E" w:rsidP="0043196E">
      <w:pPr>
        <w:numPr>
          <w:ilvl w:val="0"/>
          <w:numId w:val="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Порядок применения Экспертами положений настоящей Методики для закупочных процедур, участниками которых могут быть только субъекты малого и среднего предпринимательства в ходе проведения финансово-экономической экспертизы определен в Приложении 3 к Методике.</w:t>
      </w:r>
    </w:p>
    <w:p w:rsidR="0043196E" w:rsidRPr="0043196E" w:rsidRDefault="0043196E" w:rsidP="0043196E">
      <w:pPr>
        <w:numPr>
          <w:ilvl w:val="0"/>
          <w:numId w:val="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В случае если, исходя из особенностей закупочной процедуры и требований закупочной документации существуют основания для того, чтобы изменить набор или степень значимости финансово-экономических критериев утвержденных настоящей Методикой, указанные действия могут быть выполнены Экспертом с обоснованием внесенных изменений в экспертном заключении.</w:t>
      </w:r>
    </w:p>
    <w:p w:rsidR="0043196E" w:rsidRPr="0043196E" w:rsidRDefault="0043196E" w:rsidP="0043196E">
      <w:pPr>
        <w:ind w:left="-567"/>
        <w:jc w:val="both"/>
        <w:rPr>
          <w:rFonts w:ascii="Times New Roman" w:hAnsi="Times New Roman" w:cs="Times New Roman"/>
          <w:sz w:val="24"/>
          <w:szCs w:val="24"/>
        </w:rPr>
      </w:pPr>
    </w:p>
    <w:p w:rsidR="0043196E" w:rsidRPr="0043196E" w:rsidRDefault="00906887" w:rsidP="00906887">
      <w:pPr>
        <w:pStyle w:val="2"/>
      </w:pPr>
      <w:bookmarkStart w:id="31" w:name="_Toc314226181"/>
      <w:bookmarkStart w:id="32" w:name="_Toc322961179"/>
      <w:bookmarkStart w:id="33" w:name="_Toc326066014"/>
      <w:bookmarkStart w:id="34" w:name="_Toc326066284"/>
      <w:bookmarkStart w:id="35" w:name="_Toc326067315"/>
      <w:bookmarkStart w:id="36" w:name="_Toc516132523"/>
      <w:bookmarkStart w:id="37" w:name="_Toc519591605"/>
      <w:r>
        <w:lastRenderedPageBreak/>
        <w:t xml:space="preserve">5. </w:t>
      </w:r>
      <w:r w:rsidR="0043196E" w:rsidRPr="0043196E">
        <w:t>Информация, используемая для оценки</w:t>
      </w:r>
      <w:bookmarkEnd w:id="31"/>
      <w:bookmarkEnd w:id="32"/>
      <w:bookmarkEnd w:id="33"/>
      <w:bookmarkEnd w:id="34"/>
      <w:bookmarkEnd w:id="35"/>
      <w:bookmarkEnd w:id="36"/>
      <w:bookmarkEnd w:id="37"/>
    </w:p>
    <w:p w:rsidR="0043196E" w:rsidRPr="0043196E" w:rsidRDefault="0043196E" w:rsidP="0043196E">
      <w:pPr>
        <w:numPr>
          <w:ilvl w:val="0"/>
          <w:numId w:val="7"/>
        </w:numPr>
        <w:spacing w:before="120" w:after="120" w:line="240" w:lineRule="auto"/>
        <w:ind w:left="-567"/>
        <w:jc w:val="both"/>
        <w:rPr>
          <w:rFonts w:ascii="Times New Roman" w:hAnsi="Times New Roman" w:cs="Times New Roman"/>
          <w:sz w:val="24"/>
          <w:szCs w:val="24"/>
        </w:rPr>
      </w:pPr>
      <w:bookmarkStart w:id="38" w:name="_Toc145758362"/>
      <w:bookmarkStart w:id="39" w:name="_Toc145758488"/>
      <w:bookmarkStart w:id="40" w:name="_Toc145759012"/>
      <w:bookmarkStart w:id="41" w:name="_Toc145759275"/>
      <w:bookmarkStart w:id="42" w:name="_Toc145760309"/>
      <w:bookmarkStart w:id="43" w:name="_Toc162934435"/>
      <w:r w:rsidRPr="0043196E">
        <w:rPr>
          <w:rFonts w:ascii="Times New Roman" w:hAnsi="Times New Roman" w:cs="Times New Roman"/>
          <w:sz w:val="24"/>
          <w:szCs w:val="24"/>
        </w:rPr>
        <w:t>Формы бухгалтерской отчетности (баланс и отчет о прибылях и убытках) за два последних завершенных финансовых года с отметкой налогового органа, либо с приложением почтовой квитанции о сдаче бухгалтерской отчетности, либо квитанции о приеме бухгалтерской отчетности в электронном виде, выданной ИФНС (далее – с подтверждением предоставления в ИФНС); дополнительно бухгалтерская отчетность на последнюю отчетную дату текущего года в случае предоставления участником может быть использована для оценки без подтверждения предоставления в ИФНС. Налоговая декларация для индивидуальных предпринимателей за соответствующие периоды</w:t>
      </w:r>
    </w:p>
    <w:p w:rsidR="0043196E" w:rsidRPr="0043196E" w:rsidRDefault="0043196E" w:rsidP="0043196E">
      <w:pPr>
        <w:numPr>
          <w:ilvl w:val="0"/>
          <w:numId w:val="7"/>
        </w:numPr>
        <w:spacing w:before="120" w:after="12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 xml:space="preserve">копия выписки из ЕГРЮЛ/ЕГРИП </w:t>
      </w:r>
    </w:p>
    <w:p w:rsidR="0043196E" w:rsidRPr="0043196E" w:rsidRDefault="0043196E" w:rsidP="0043196E">
      <w:pPr>
        <w:numPr>
          <w:ilvl w:val="0"/>
          <w:numId w:val="7"/>
        </w:numPr>
        <w:spacing w:before="120" w:after="12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копия устава</w:t>
      </w:r>
    </w:p>
    <w:p w:rsidR="0043196E" w:rsidRPr="0043196E" w:rsidRDefault="0043196E" w:rsidP="0043196E">
      <w:pPr>
        <w:numPr>
          <w:ilvl w:val="0"/>
          <w:numId w:val="7"/>
        </w:numPr>
        <w:spacing w:before="120" w:after="12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Анкета участника *</w:t>
      </w:r>
    </w:p>
    <w:p w:rsidR="0043196E" w:rsidRPr="0043196E" w:rsidRDefault="0043196E" w:rsidP="0043196E">
      <w:pPr>
        <w:numPr>
          <w:ilvl w:val="0"/>
          <w:numId w:val="7"/>
        </w:numPr>
        <w:spacing w:before="120" w:after="12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Справка о перечне и объемах выполнения аналогичных договоров*</w:t>
      </w:r>
    </w:p>
    <w:p w:rsidR="0043196E" w:rsidRPr="0043196E" w:rsidRDefault="0043196E" w:rsidP="0043196E">
      <w:pPr>
        <w:numPr>
          <w:ilvl w:val="0"/>
          <w:numId w:val="7"/>
        </w:numPr>
        <w:spacing w:before="120" w:after="12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Справка о наличии кадровых ресурсов*</w:t>
      </w:r>
    </w:p>
    <w:p w:rsidR="0043196E" w:rsidRPr="0043196E" w:rsidRDefault="0043196E" w:rsidP="0043196E">
      <w:pPr>
        <w:numPr>
          <w:ilvl w:val="0"/>
          <w:numId w:val="7"/>
        </w:numPr>
        <w:spacing w:before="120" w:after="12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Справка о наличии материально-технических ресурсов*</w:t>
      </w:r>
    </w:p>
    <w:p w:rsidR="0043196E" w:rsidRPr="0043196E" w:rsidRDefault="0043196E" w:rsidP="0043196E">
      <w:pPr>
        <w:numPr>
          <w:ilvl w:val="0"/>
          <w:numId w:val="7"/>
        </w:numPr>
        <w:spacing w:before="120" w:after="12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 xml:space="preserve">Копия подписанной и заверенной печатью налогового органа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о проведении закупки; в случае, если указанные справки предоставляются в форме электронного документа в формате </w:t>
      </w:r>
      <w:r w:rsidRPr="0043196E">
        <w:rPr>
          <w:rFonts w:ascii="Times New Roman" w:hAnsi="Times New Roman" w:cs="Times New Roman"/>
          <w:sz w:val="24"/>
          <w:szCs w:val="24"/>
          <w:lang w:val="en-US"/>
        </w:rPr>
        <w:t>pdf</w:t>
      </w:r>
      <w:r w:rsidRPr="0043196E">
        <w:rPr>
          <w:rFonts w:ascii="Times New Roman" w:hAnsi="Times New Roman" w:cs="Times New Roman"/>
          <w:sz w:val="24"/>
          <w:szCs w:val="24"/>
        </w:rPr>
        <w:t>, такие документы должны содержать усиленную квалифицированную электронную подпись налогового органа и ее визуализацию</w:t>
      </w:r>
    </w:p>
    <w:p w:rsidR="0043196E" w:rsidRPr="0043196E" w:rsidRDefault="0043196E" w:rsidP="0043196E">
      <w:pPr>
        <w:numPr>
          <w:ilvl w:val="0"/>
          <w:numId w:val="7"/>
        </w:numPr>
        <w:spacing w:before="120" w:after="12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Сводная таблица стоимости*</w:t>
      </w:r>
    </w:p>
    <w:p w:rsidR="0043196E" w:rsidRPr="0043196E" w:rsidRDefault="0043196E" w:rsidP="0043196E">
      <w:pPr>
        <w:numPr>
          <w:ilvl w:val="0"/>
          <w:numId w:val="7"/>
        </w:numPr>
        <w:spacing w:before="120" w:after="12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График и условия оплаты*</w:t>
      </w:r>
    </w:p>
    <w:p w:rsidR="0043196E" w:rsidRPr="0043196E" w:rsidRDefault="0043196E" w:rsidP="0043196E">
      <w:pPr>
        <w:numPr>
          <w:ilvl w:val="0"/>
          <w:numId w:val="7"/>
        </w:numPr>
        <w:spacing w:before="120" w:after="12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Другие документы, подтверждающие наличие у участника закупочной процедуры релевантного опыта (отзывы, рекомендательные письма)</w:t>
      </w:r>
    </w:p>
    <w:p w:rsidR="0043196E" w:rsidRPr="0043196E" w:rsidRDefault="0043196E" w:rsidP="0043196E">
      <w:pPr>
        <w:numPr>
          <w:ilvl w:val="0"/>
          <w:numId w:val="7"/>
        </w:numPr>
        <w:spacing w:before="120" w:after="12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Информация из открытых источников</w:t>
      </w:r>
    </w:p>
    <w:p w:rsidR="0043196E" w:rsidRPr="0043196E" w:rsidRDefault="0043196E" w:rsidP="0043196E">
      <w:pPr>
        <w:numPr>
          <w:ilvl w:val="0"/>
          <w:numId w:val="7"/>
        </w:numPr>
        <w:spacing w:before="120" w:after="12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Информация закрытых источников – данные информационно-аналитических систем «СПАРК», «БизнесИнфоРесурс»**</w:t>
      </w:r>
    </w:p>
    <w:p w:rsidR="0043196E" w:rsidRPr="0043196E" w:rsidRDefault="0043196E" w:rsidP="0043196E">
      <w:pPr>
        <w:numPr>
          <w:ilvl w:val="0"/>
          <w:numId w:val="7"/>
        </w:numPr>
        <w:spacing w:before="120" w:after="12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Расшифровка дебиторской и кредиторской задолженности***</w:t>
      </w:r>
    </w:p>
    <w:p w:rsidR="0043196E" w:rsidRPr="0043196E" w:rsidRDefault="0043196E" w:rsidP="0043196E">
      <w:pPr>
        <w:numPr>
          <w:ilvl w:val="0"/>
          <w:numId w:val="7"/>
        </w:numPr>
        <w:spacing w:before="120" w:after="12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Расшифровка других статей баланса***</w:t>
      </w:r>
    </w:p>
    <w:p w:rsidR="0043196E" w:rsidRPr="0043196E" w:rsidRDefault="0043196E" w:rsidP="0043196E">
      <w:pPr>
        <w:spacing w:before="120" w:after="120"/>
        <w:ind w:left="-567"/>
        <w:jc w:val="both"/>
        <w:rPr>
          <w:rFonts w:ascii="Times New Roman" w:hAnsi="Times New Roman" w:cs="Times New Roman"/>
          <w:i/>
          <w:sz w:val="24"/>
          <w:szCs w:val="24"/>
        </w:rPr>
      </w:pPr>
      <w:r w:rsidRPr="0043196E">
        <w:rPr>
          <w:rFonts w:ascii="Times New Roman" w:hAnsi="Times New Roman" w:cs="Times New Roman"/>
          <w:i/>
          <w:sz w:val="24"/>
          <w:szCs w:val="24"/>
        </w:rPr>
        <w:t>*документы, составленные по форме, установленной закупочной документацией</w:t>
      </w:r>
    </w:p>
    <w:p w:rsidR="0043196E" w:rsidRPr="0043196E" w:rsidRDefault="0043196E" w:rsidP="0043196E">
      <w:pPr>
        <w:spacing w:before="120" w:after="120"/>
        <w:ind w:left="-567"/>
        <w:jc w:val="both"/>
        <w:rPr>
          <w:rFonts w:ascii="Times New Roman" w:hAnsi="Times New Roman" w:cs="Times New Roman"/>
          <w:i/>
          <w:sz w:val="24"/>
          <w:szCs w:val="24"/>
        </w:rPr>
      </w:pPr>
      <w:r w:rsidRPr="0043196E">
        <w:rPr>
          <w:rFonts w:ascii="Times New Roman" w:hAnsi="Times New Roman" w:cs="Times New Roman"/>
          <w:i/>
          <w:sz w:val="24"/>
          <w:szCs w:val="24"/>
        </w:rPr>
        <w:t>**при наличии доступа</w:t>
      </w:r>
    </w:p>
    <w:p w:rsidR="0043196E" w:rsidRPr="0043196E" w:rsidRDefault="0043196E" w:rsidP="0043196E">
      <w:pPr>
        <w:spacing w:before="120" w:after="120"/>
        <w:ind w:left="-567"/>
        <w:jc w:val="both"/>
        <w:rPr>
          <w:rFonts w:ascii="Times New Roman" w:hAnsi="Times New Roman" w:cs="Times New Roman"/>
          <w:i/>
          <w:sz w:val="24"/>
          <w:szCs w:val="24"/>
        </w:rPr>
      </w:pPr>
      <w:r w:rsidRPr="0043196E">
        <w:rPr>
          <w:rFonts w:ascii="Times New Roman" w:hAnsi="Times New Roman" w:cs="Times New Roman"/>
          <w:i/>
          <w:sz w:val="24"/>
          <w:szCs w:val="24"/>
        </w:rPr>
        <w:t>***разъяснения, предоставляются по запросу, в случа</w:t>
      </w:r>
      <w:bookmarkEnd w:id="38"/>
      <w:bookmarkEnd w:id="39"/>
      <w:bookmarkEnd w:id="40"/>
      <w:bookmarkEnd w:id="41"/>
      <w:bookmarkEnd w:id="42"/>
      <w:bookmarkEnd w:id="43"/>
      <w:r w:rsidRPr="0043196E">
        <w:rPr>
          <w:rFonts w:ascii="Times New Roman" w:hAnsi="Times New Roman" w:cs="Times New Roman"/>
          <w:i/>
          <w:sz w:val="24"/>
          <w:szCs w:val="24"/>
        </w:rPr>
        <w:t>е необходимости</w:t>
      </w:r>
    </w:p>
    <w:p w:rsidR="0043196E" w:rsidRPr="0043196E" w:rsidRDefault="0043196E" w:rsidP="0043196E">
      <w:pPr>
        <w:spacing w:before="120" w:after="120"/>
        <w:ind w:left="-567"/>
        <w:jc w:val="both"/>
        <w:rPr>
          <w:rFonts w:ascii="Times New Roman" w:hAnsi="Times New Roman" w:cs="Times New Roman"/>
          <w:i/>
          <w:sz w:val="24"/>
          <w:szCs w:val="24"/>
        </w:rPr>
      </w:pPr>
    </w:p>
    <w:p w:rsidR="0043196E" w:rsidRPr="0043196E" w:rsidRDefault="0043196E" w:rsidP="0043196E">
      <w:pPr>
        <w:spacing w:before="120" w:after="120"/>
        <w:ind w:left="-567"/>
        <w:jc w:val="both"/>
        <w:rPr>
          <w:rFonts w:ascii="Times New Roman" w:hAnsi="Times New Roman" w:cs="Times New Roman"/>
          <w:i/>
          <w:sz w:val="24"/>
          <w:szCs w:val="24"/>
        </w:rPr>
      </w:pPr>
    </w:p>
    <w:p w:rsidR="0043196E" w:rsidRPr="0043196E" w:rsidRDefault="00906887" w:rsidP="00906887">
      <w:pPr>
        <w:pStyle w:val="2"/>
      </w:pPr>
      <w:bookmarkStart w:id="44" w:name="_Toc322961180"/>
      <w:bookmarkStart w:id="45" w:name="_Toc326066015"/>
      <w:bookmarkStart w:id="46" w:name="_Toc326066285"/>
      <w:bookmarkStart w:id="47" w:name="_Toc326067316"/>
      <w:bookmarkStart w:id="48" w:name="_Toc516132524"/>
      <w:bookmarkStart w:id="49" w:name="_Toc519591606"/>
      <w:r>
        <w:lastRenderedPageBreak/>
        <w:t xml:space="preserve">6. </w:t>
      </w:r>
      <w:r w:rsidR="0043196E" w:rsidRPr="0043196E">
        <w:t>Группа финансовых показателей</w:t>
      </w:r>
      <w:bookmarkEnd w:id="44"/>
      <w:bookmarkEnd w:id="45"/>
      <w:bookmarkEnd w:id="46"/>
      <w:bookmarkEnd w:id="47"/>
      <w:bookmarkEnd w:id="48"/>
      <w:bookmarkEnd w:id="49"/>
    </w:p>
    <w:p w:rsidR="0043196E" w:rsidRPr="00906887" w:rsidRDefault="00906887" w:rsidP="00906887">
      <w:pPr>
        <w:ind w:left="-567" w:hanging="709"/>
        <w:jc w:val="both"/>
        <w:rPr>
          <w:rFonts w:ascii="Times New Roman" w:eastAsia="Times New Roman" w:hAnsi="Times New Roman" w:cs="Times New Roman"/>
          <w:b/>
          <w:bCs/>
          <w:kern w:val="32"/>
          <w:sz w:val="24"/>
          <w:szCs w:val="24"/>
          <w:lang w:eastAsia="ru-RU"/>
        </w:rPr>
      </w:pPr>
      <w:r w:rsidRPr="00906887">
        <w:rPr>
          <w:rFonts w:ascii="Times New Roman" w:eastAsia="Times New Roman" w:hAnsi="Times New Roman" w:cs="Times New Roman"/>
          <w:b/>
          <w:bCs/>
          <w:kern w:val="32"/>
          <w:sz w:val="24"/>
          <w:szCs w:val="24"/>
          <w:lang w:eastAsia="ru-RU"/>
        </w:rPr>
        <w:t xml:space="preserve">6.1. </w:t>
      </w:r>
      <w:r w:rsidR="0043196E" w:rsidRPr="00906887">
        <w:rPr>
          <w:rFonts w:ascii="Times New Roman" w:eastAsia="Times New Roman" w:hAnsi="Times New Roman" w:cs="Times New Roman"/>
          <w:b/>
          <w:bCs/>
          <w:kern w:val="32"/>
          <w:sz w:val="24"/>
          <w:szCs w:val="24"/>
          <w:lang w:eastAsia="ru-RU"/>
        </w:rPr>
        <w:t>Коэффициенты, характеризующие способность компании расплачиваться по финансовым обязательствам, устойчивость и рентабельность</w:t>
      </w:r>
    </w:p>
    <w:p w:rsidR="0043196E" w:rsidRPr="0043196E" w:rsidRDefault="0043196E" w:rsidP="0043196E">
      <w:pPr>
        <w:pStyle w:val="aa"/>
        <w:numPr>
          <w:ilvl w:val="2"/>
          <w:numId w:val="14"/>
        </w:numPr>
        <w:spacing w:before="120" w:after="120"/>
        <w:ind w:left="-567"/>
        <w:jc w:val="both"/>
        <w:rPr>
          <w:b/>
          <w:i/>
        </w:rPr>
      </w:pPr>
      <w:r w:rsidRPr="0043196E">
        <w:rPr>
          <w:b/>
          <w:i/>
        </w:rPr>
        <w:t>Доля привлеченных средств в пассивах</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sz w:val="24"/>
          <w:szCs w:val="24"/>
        </w:rPr>
        <w:t>Коэффициент характеризует зависимость предприятия от внешних источников финансирования, его финансовую устойчивость. При прочих равных условиях: чем больше у предприятия доля собственных средств в пассивах, тем больше у него возможностей для дополнительного привлечения заемных средств:</w:t>
      </w:r>
    </w:p>
    <w:p w:rsidR="0043196E" w:rsidRPr="0043196E" w:rsidRDefault="0043196E" w:rsidP="003817BF">
      <w:pPr>
        <w:spacing w:before="120" w:after="120"/>
        <w:ind w:left="-567"/>
        <w:jc w:val="both"/>
        <w:rPr>
          <w:rFonts w:ascii="Times New Roman" w:hAnsi="Times New Roman" w:cs="Times New Roman"/>
          <w:sz w:val="24"/>
          <w:szCs w:val="24"/>
        </w:rPr>
      </w:pPr>
      <w:r w:rsidRPr="0043196E">
        <w:rPr>
          <w:rFonts w:ascii="Times New Roman" w:hAnsi="Times New Roman" w:cs="Times New Roman"/>
          <w:position w:val="-30"/>
          <w:sz w:val="24"/>
          <w:szCs w:val="24"/>
        </w:rPr>
        <w:object w:dxaOrig="70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75pt;height:39.15pt" o:ole="">
            <v:imagedata r:id="rId8" o:title=""/>
          </v:shape>
          <o:OLEObject Type="Embed" ProgID="Equation.3" ShapeID="_x0000_i1025" DrawAspect="Content" ObjectID="_1594792736" r:id="rId9"/>
        </w:object>
      </w:r>
    </w:p>
    <w:p w:rsidR="0043196E" w:rsidRPr="0043196E" w:rsidRDefault="0043196E" w:rsidP="0043196E">
      <w:pPr>
        <w:pStyle w:val="aa"/>
        <w:numPr>
          <w:ilvl w:val="2"/>
          <w:numId w:val="14"/>
        </w:numPr>
        <w:spacing w:before="120" w:after="120"/>
        <w:ind w:left="-567"/>
        <w:jc w:val="both"/>
        <w:rPr>
          <w:b/>
          <w:i/>
        </w:rPr>
      </w:pPr>
      <w:r w:rsidRPr="0043196E">
        <w:rPr>
          <w:b/>
          <w:i/>
        </w:rPr>
        <w:t>Рентабельность инвестированного капитала</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sz w:val="24"/>
          <w:szCs w:val="24"/>
        </w:rPr>
        <w:t>Рентабельность вложенного (инвестированного) капитала по прибыли до налогообложения, уплаты процентов, показывает величину прибыли, полученную на 1 рубль вложенного капитала. 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position w:val="-30"/>
          <w:sz w:val="24"/>
          <w:szCs w:val="24"/>
        </w:rPr>
        <w:object w:dxaOrig="7100" w:dyaOrig="680">
          <v:shape id="_x0000_i1026" type="#_x0000_t75" style="width:386.5pt;height:37.45pt" o:ole="">
            <v:imagedata r:id="rId10" o:title=""/>
          </v:shape>
          <o:OLEObject Type="Embed" ProgID="Equation.3" ShapeID="_x0000_i1026" DrawAspect="Content" ObjectID="_1594792737" r:id="rId11"/>
        </w:object>
      </w:r>
      <w:r w:rsidRPr="0043196E">
        <w:rPr>
          <w:rFonts w:ascii="Times New Roman" w:hAnsi="Times New Roman" w:cs="Times New Roman"/>
          <w:sz w:val="24"/>
          <w:szCs w:val="24"/>
        </w:rPr>
        <w:t>,</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sz w:val="24"/>
          <w:szCs w:val="24"/>
        </w:rPr>
        <w:t>где Т – ставка налога на прибыль.</w:t>
      </w:r>
    </w:p>
    <w:p w:rsidR="0043196E" w:rsidRPr="0043196E" w:rsidRDefault="0043196E" w:rsidP="0043196E">
      <w:pPr>
        <w:numPr>
          <w:ilvl w:val="2"/>
          <w:numId w:val="14"/>
        </w:numPr>
        <w:spacing w:before="120" w:after="120" w:line="240" w:lineRule="auto"/>
        <w:ind w:left="-567"/>
        <w:jc w:val="both"/>
        <w:rPr>
          <w:rFonts w:ascii="Times New Roman" w:hAnsi="Times New Roman" w:cs="Times New Roman"/>
          <w:b/>
          <w:i/>
          <w:sz w:val="24"/>
          <w:szCs w:val="24"/>
        </w:rPr>
      </w:pPr>
      <w:r w:rsidRPr="0043196E">
        <w:rPr>
          <w:rFonts w:ascii="Times New Roman" w:hAnsi="Times New Roman" w:cs="Times New Roman"/>
          <w:b/>
          <w:i/>
          <w:sz w:val="24"/>
          <w:szCs w:val="24"/>
        </w:rPr>
        <w:t>Долг / EBITDA</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sz w:val="24"/>
          <w:szCs w:val="24"/>
        </w:rPr>
        <w:t xml:space="preserve">Показатель оценивает срок (в годах), в течение которого совокупная финансовая задолженность (за вычетом остатков денежных средств) может быть погашена, если компания весь свой денежный поток от операционной деятельности (в оценке через EBITDA) будет направлять на эти цели, т.е. оценивает платежеспособность организации в долгосрочном периоде перед банками и другими финансовыми институтами. Для целей осуществления финансово-экономической экспертизы </w:t>
      </w:r>
      <w:r w:rsidRPr="0043196E">
        <w:rPr>
          <w:rFonts w:ascii="Times New Roman" w:hAnsi="Times New Roman" w:cs="Times New Roman"/>
          <w:sz w:val="24"/>
          <w:szCs w:val="24"/>
          <w:lang w:val="en-US"/>
        </w:rPr>
        <w:t>EBITDA</w:t>
      </w:r>
      <w:r w:rsidRPr="0043196E">
        <w:rPr>
          <w:rFonts w:ascii="Times New Roman" w:hAnsi="Times New Roman" w:cs="Times New Roman"/>
          <w:sz w:val="24"/>
          <w:szCs w:val="24"/>
        </w:rPr>
        <w:t xml:space="preserve">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rsidR="00041CF9" w:rsidRPr="00041CF9" w:rsidRDefault="0043196E" w:rsidP="003817BF">
      <w:pPr>
        <w:spacing w:before="120" w:after="120"/>
        <w:ind w:left="-567"/>
        <w:jc w:val="both"/>
        <w:rPr>
          <w:rFonts w:ascii="Times New Roman" w:hAnsi="Times New Roman" w:cs="Times New Roman"/>
          <w:sz w:val="24"/>
          <w:szCs w:val="24"/>
        </w:rPr>
      </w:pPr>
      <w:r w:rsidRPr="0043196E">
        <w:rPr>
          <w:rFonts w:ascii="Times New Roman" w:hAnsi="Times New Roman" w:cs="Times New Roman"/>
          <w:position w:val="-24"/>
          <w:sz w:val="24"/>
          <w:szCs w:val="24"/>
        </w:rPr>
        <w:object w:dxaOrig="8520" w:dyaOrig="620">
          <v:shape id="_x0000_i1027" type="#_x0000_t75" style="width:397.45pt;height:29.4pt" o:ole="">
            <v:imagedata r:id="rId12" o:title=""/>
          </v:shape>
          <o:OLEObject Type="Embed" ProgID="Equation.3" ShapeID="_x0000_i1027" DrawAspect="Content" ObjectID="_1594792738" r:id="rId13"/>
        </w:object>
      </w:r>
      <w:bookmarkStart w:id="50" w:name="_GoBack"/>
      <w:bookmarkEnd w:id="50"/>
    </w:p>
    <w:p w:rsidR="0043196E" w:rsidRPr="0043196E" w:rsidRDefault="0043196E" w:rsidP="0043196E">
      <w:pPr>
        <w:ind w:left="-567"/>
        <w:jc w:val="right"/>
        <w:rPr>
          <w:rFonts w:ascii="Times New Roman" w:hAnsi="Times New Roman" w:cs="Times New Roman"/>
          <w:sz w:val="24"/>
          <w:szCs w:val="24"/>
        </w:rPr>
      </w:pPr>
      <w:r w:rsidRPr="0043196E">
        <w:rPr>
          <w:rFonts w:ascii="Times New Roman" w:hAnsi="Times New Roman" w:cs="Times New Roman"/>
          <w:sz w:val="24"/>
          <w:szCs w:val="24"/>
        </w:rPr>
        <w:t>Таблица перевода значений финансовых показателей в баллы по шкале от 0 до 1</w:t>
      </w:r>
    </w:p>
    <w:p w:rsidR="0043196E" w:rsidRPr="0043196E" w:rsidRDefault="0043196E" w:rsidP="0043196E">
      <w:pPr>
        <w:ind w:left="-567"/>
        <w:jc w:val="both"/>
        <w:rPr>
          <w:rFonts w:ascii="Times New Roman" w:hAnsi="Times New Roman" w:cs="Times New Roman"/>
          <w:sz w:val="24"/>
          <w:szCs w:val="24"/>
        </w:rPr>
      </w:pPr>
    </w:p>
    <w:tbl>
      <w:tblPr>
        <w:tblW w:w="9923" w:type="dxa"/>
        <w:tblInd w:w="-459" w:type="dxa"/>
        <w:tblLayout w:type="fixed"/>
        <w:tblLook w:val="04A0" w:firstRow="1" w:lastRow="0" w:firstColumn="1" w:lastColumn="0" w:noHBand="0" w:noVBand="1"/>
      </w:tblPr>
      <w:tblGrid>
        <w:gridCol w:w="2410"/>
        <w:gridCol w:w="851"/>
        <w:gridCol w:w="850"/>
        <w:gridCol w:w="851"/>
        <w:gridCol w:w="567"/>
        <w:gridCol w:w="567"/>
        <w:gridCol w:w="567"/>
        <w:gridCol w:w="567"/>
        <w:gridCol w:w="567"/>
        <w:gridCol w:w="567"/>
        <w:gridCol w:w="567"/>
        <w:gridCol w:w="992"/>
      </w:tblGrid>
      <w:tr w:rsidR="0043196E" w:rsidRPr="0043196E" w:rsidTr="00906887">
        <w:trPr>
          <w:trHeight w:val="300"/>
        </w:trPr>
        <w:tc>
          <w:tcPr>
            <w:tcW w:w="241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Оценка</w:t>
            </w:r>
          </w:p>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0,0</w:t>
            </w:r>
          </w:p>
        </w:tc>
        <w:tc>
          <w:tcPr>
            <w:tcW w:w="85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0,2</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0,3</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0,4</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0,5</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0,6</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0,7</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0,8</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0,9</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1,0</w:t>
            </w:r>
          </w:p>
        </w:tc>
      </w:tr>
      <w:tr w:rsidR="0043196E" w:rsidRPr="0043196E" w:rsidTr="00906887">
        <w:trPr>
          <w:trHeight w:val="600"/>
        </w:trPr>
        <w:tc>
          <w:tcPr>
            <w:tcW w:w="2410" w:type="dxa"/>
            <w:tcBorders>
              <w:top w:val="nil"/>
              <w:left w:val="single" w:sz="4" w:space="0" w:color="auto"/>
              <w:bottom w:val="single" w:sz="4" w:space="0" w:color="auto"/>
              <w:right w:val="single" w:sz="4" w:space="0" w:color="auto"/>
            </w:tcBorders>
            <w:shd w:val="clear" w:color="auto" w:fill="auto"/>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lastRenderedPageBreak/>
              <w:t>Доля привл-ных средств в пассивах, %</w:t>
            </w:r>
          </w:p>
        </w:tc>
        <w:tc>
          <w:tcPr>
            <w:tcW w:w="851"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100% и более</w:t>
            </w:r>
          </w:p>
        </w:tc>
        <w:tc>
          <w:tcPr>
            <w:tcW w:w="850"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99,5%</w:t>
            </w:r>
          </w:p>
        </w:tc>
        <w:tc>
          <w:tcPr>
            <w:tcW w:w="851"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98,5%</w:t>
            </w:r>
          </w:p>
        </w:tc>
        <w:tc>
          <w:tcPr>
            <w:tcW w:w="567"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98%</w:t>
            </w:r>
          </w:p>
        </w:tc>
        <w:tc>
          <w:tcPr>
            <w:tcW w:w="567" w:type="dxa"/>
            <w:tcBorders>
              <w:top w:val="nil"/>
              <w:left w:val="nil"/>
              <w:bottom w:val="single" w:sz="4" w:space="0" w:color="auto"/>
              <w:right w:val="single" w:sz="4" w:space="0" w:color="auto"/>
            </w:tcBorders>
            <w:shd w:val="clear" w:color="000000" w:fill="F8FFB9"/>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96%</w:t>
            </w:r>
          </w:p>
        </w:tc>
        <w:tc>
          <w:tcPr>
            <w:tcW w:w="567" w:type="dxa"/>
            <w:tcBorders>
              <w:top w:val="nil"/>
              <w:left w:val="nil"/>
              <w:bottom w:val="single" w:sz="4" w:space="0" w:color="auto"/>
              <w:right w:val="single" w:sz="4" w:space="0" w:color="auto"/>
            </w:tcBorders>
            <w:shd w:val="clear" w:color="000000" w:fill="F8FFB9"/>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94%</w:t>
            </w:r>
          </w:p>
        </w:tc>
        <w:tc>
          <w:tcPr>
            <w:tcW w:w="567"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92%</w:t>
            </w:r>
          </w:p>
        </w:tc>
        <w:tc>
          <w:tcPr>
            <w:tcW w:w="567"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90%</w:t>
            </w:r>
          </w:p>
        </w:tc>
        <w:tc>
          <w:tcPr>
            <w:tcW w:w="567"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83%</w:t>
            </w:r>
          </w:p>
        </w:tc>
        <w:tc>
          <w:tcPr>
            <w:tcW w:w="567"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76%</w:t>
            </w:r>
          </w:p>
        </w:tc>
        <w:tc>
          <w:tcPr>
            <w:tcW w:w="992"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до 70%</w:t>
            </w:r>
          </w:p>
        </w:tc>
      </w:tr>
      <w:tr w:rsidR="0043196E" w:rsidRPr="0043196E" w:rsidTr="00906887">
        <w:trPr>
          <w:trHeight w:val="915"/>
        </w:trPr>
        <w:tc>
          <w:tcPr>
            <w:tcW w:w="2410" w:type="dxa"/>
            <w:tcBorders>
              <w:top w:val="nil"/>
              <w:left w:val="single" w:sz="4" w:space="0" w:color="auto"/>
              <w:bottom w:val="single" w:sz="4" w:space="0" w:color="auto"/>
              <w:right w:val="single" w:sz="4" w:space="0" w:color="auto"/>
            </w:tcBorders>
            <w:shd w:val="clear" w:color="auto" w:fill="auto"/>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Рентабельность инвестированного капитала, %</w:t>
            </w:r>
          </w:p>
        </w:tc>
        <w:tc>
          <w:tcPr>
            <w:tcW w:w="851" w:type="dxa"/>
            <w:tcBorders>
              <w:top w:val="nil"/>
              <w:left w:val="nil"/>
              <w:bottom w:val="single" w:sz="4" w:space="0" w:color="auto"/>
              <w:right w:val="single" w:sz="4" w:space="0" w:color="auto"/>
            </w:tcBorders>
            <w:shd w:val="clear" w:color="000000" w:fill="FFE5E5"/>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убыток более 10%</w:t>
            </w:r>
          </w:p>
        </w:tc>
        <w:tc>
          <w:tcPr>
            <w:tcW w:w="850"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-10%</w:t>
            </w:r>
          </w:p>
        </w:tc>
        <w:tc>
          <w:tcPr>
            <w:tcW w:w="851"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-7%</w:t>
            </w:r>
          </w:p>
        </w:tc>
        <w:tc>
          <w:tcPr>
            <w:tcW w:w="567"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-3%</w:t>
            </w:r>
          </w:p>
        </w:tc>
        <w:tc>
          <w:tcPr>
            <w:tcW w:w="567" w:type="dxa"/>
            <w:tcBorders>
              <w:top w:val="nil"/>
              <w:left w:val="nil"/>
              <w:bottom w:val="single" w:sz="4" w:space="0" w:color="auto"/>
              <w:right w:val="single" w:sz="4" w:space="0" w:color="auto"/>
            </w:tcBorders>
            <w:shd w:val="clear" w:color="000000" w:fill="F8FFB9"/>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w:t>
            </w:r>
          </w:p>
        </w:tc>
        <w:tc>
          <w:tcPr>
            <w:tcW w:w="567" w:type="dxa"/>
            <w:tcBorders>
              <w:top w:val="nil"/>
              <w:left w:val="nil"/>
              <w:bottom w:val="single" w:sz="4" w:space="0" w:color="auto"/>
              <w:right w:val="single" w:sz="4" w:space="0" w:color="auto"/>
            </w:tcBorders>
            <w:shd w:val="clear" w:color="000000" w:fill="F8FFB9"/>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3%</w:t>
            </w:r>
          </w:p>
        </w:tc>
        <w:tc>
          <w:tcPr>
            <w:tcW w:w="567"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7%</w:t>
            </w:r>
          </w:p>
        </w:tc>
        <w:tc>
          <w:tcPr>
            <w:tcW w:w="567"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10%</w:t>
            </w:r>
          </w:p>
        </w:tc>
        <w:tc>
          <w:tcPr>
            <w:tcW w:w="567"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13%</w:t>
            </w:r>
          </w:p>
        </w:tc>
        <w:tc>
          <w:tcPr>
            <w:tcW w:w="567"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17%</w:t>
            </w:r>
          </w:p>
        </w:tc>
        <w:tc>
          <w:tcPr>
            <w:tcW w:w="992" w:type="dxa"/>
            <w:tcBorders>
              <w:top w:val="nil"/>
              <w:left w:val="nil"/>
              <w:bottom w:val="single" w:sz="4" w:space="0" w:color="auto"/>
              <w:right w:val="single" w:sz="4" w:space="0" w:color="auto"/>
            </w:tcBorders>
            <w:shd w:val="clear" w:color="000000" w:fill="C6FED1"/>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более 20%</w:t>
            </w:r>
          </w:p>
        </w:tc>
      </w:tr>
      <w:tr w:rsidR="0043196E" w:rsidRPr="0043196E" w:rsidTr="00906887">
        <w:trPr>
          <w:trHeight w:val="600"/>
        </w:trPr>
        <w:tc>
          <w:tcPr>
            <w:tcW w:w="2410" w:type="dxa"/>
            <w:tcBorders>
              <w:top w:val="nil"/>
              <w:left w:val="single" w:sz="4" w:space="0" w:color="auto"/>
              <w:bottom w:val="single" w:sz="4" w:space="0" w:color="auto"/>
              <w:right w:val="single" w:sz="4" w:space="0" w:color="auto"/>
            </w:tcBorders>
            <w:shd w:val="clear" w:color="auto" w:fill="auto"/>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Долг / EBITDA, лет</w:t>
            </w:r>
          </w:p>
        </w:tc>
        <w:tc>
          <w:tcPr>
            <w:tcW w:w="851" w:type="dxa"/>
            <w:tcBorders>
              <w:top w:val="nil"/>
              <w:left w:val="nil"/>
              <w:bottom w:val="single" w:sz="4" w:space="0" w:color="auto"/>
              <w:right w:val="single" w:sz="4" w:space="0" w:color="auto"/>
            </w:tcBorders>
            <w:shd w:val="clear" w:color="000000" w:fill="FFE5E5"/>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более 12 лет</w:t>
            </w:r>
          </w:p>
        </w:tc>
        <w:tc>
          <w:tcPr>
            <w:tcW w:w="850"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11</w:t>
            </w:r>
          </w:p>
        </w:tc>
        <w:tc>
          <w:tcPr>
            <w:tcW w:w="851"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10</w:t>
            </w:r>
          </w:p>
        </w:tc>
        <w:tc>
          <w:tcPr>
            <w:tcW w:w="567"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9</w:t>
            </w:r>
          </w:p>
        </w:tc>
        <w:tc>
          <w:tcPr>
            <w:tcW w:w="567" w:type="dxa"/>
            <w:tcBorders>
              <w:top w:val="nil"/>
              <w:left w:val="nil"/>
              <w:bottom w:val="single" w:sz="4" w:space="0" w:color="auto"/>
              <w:right w:val="single" w:sz="4" w:space="0" w:color="auto"/>
            </w:tcBorders>
            <w:shd w:val="clear" w:color="000000" w:fill="F8FFB9"/>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8</w:t>
            </w:r>
          </w:p>
        </w:tc>
        <w:tc>
          <w:tcPr>
            <w:tcW w:w="567" w:type="dxa"/>
            <w:tcBorders>
              <w:top w:val="nil"/>
              <w:left w:val="nil"/>
              <w:bottom w:val="single" w:sz="4" w:space="0" w:color="auto"/>
              <w:right w:val="single" w:sz="4" w:space="0" w:color="auto"/>
            </w:tcBorders>
            <w:shd w:val="clear" w:color="000000" w:fill="F8FFB9"/>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7</w:t>
            </w:r>
          </w:p>
        </w:tc>
        <w:tc>
          <w:tcPr>
            <w:tcW w:w="567"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6</w:t>
            </w:r>
          </w:p>
        </w:tc>
        <w:tc>
          <w:tcPr>
            <w:tcW w:w="567"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5</w:t>
            </w:r>
          </w:p>
        </w:tc>
        <w:tc>
          <w:tcPr>
            <w:tcW w:w="567"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4</w:t>
            </w:r>
          </w:p>
        </w:tc>
        <w:tc>
          <w:tcPr>
            <w:tcW w:w="567"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3</w:t>
            </w:r>
          </w:p>
        </w:tc>
        <w:tc>
          <w:tcPr>
            <w:tcW w:w="992" w:type="dxa"/>
            <w:tcBorders>
              <w:top w:val="nil"/>
              <w:left w:val="nil"/>
              <w:bottom w:val="single" w:sz="4" w:space="0" w:color="auto"/>
              <w:right w:val="single" w:sz="4" w:space="0" w:color="auto"/>
            </w:tcBorders>
            <w:shd w:val="clear" w:color="000000" w:fill="C6FED1"/>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менее 2 лет</w:t>
            </w:r>
          </w:p>
        </w:tc>
      </w:tr>
    </w:tbl>
    <w:p w:rsidR="0043196E" w:rsidRPr="0043196E" w:rsidRDefault="0043196E" w:rsidP="0043196E">
      <w:pPr>
        <w:spacing w:before="120" w:after="120"/>
        <w:ind w:left="-567"/>
        <w:jc w:val="both"/>
        <w:rPr>
          <w:rFonts w:ascii="Times New Roman" w:hAnsi="Times New Roman" w:cs="Times New Roman"/>
          <w:b/>
          <w:sz w:val="24"/>
          <w:szCs w:val="24"/>
        </w:rPr>
      </w:pPr>
    </w:p>
    <w:p w:rsidR="0043196E" w:rsidRPr="0043196E" w:rsidRDefault="0043196E" w:rsidP="0043196E">
      <w:pPr>
        <w:numPr>
          <w:ilvl w:val="1"/>
          <w:numId w:val="14"/>
        </w:numPr>
        <w:spacing w:before="120" w:after="120" w:line="240" w:lineRule="auto"/>
        <w:ind w:left="-567"/>
        <w:jc w:val="both"/>
        <w:rPr>
          <w:rFonts w:ascii="Times New Roman" w:hAnsi="Times New Roman" w:cs="Times New Roman"/>
          <w:b/>
          <w:sz w:val="24"/>
          <w:szCs w:val="24"/>
        </w:rPr>
      </w:pPr>
      <w:r w:rsidRPr="0043196E">
        <w:rPr>
          <w:rFonts w:ascii="Times New Roman" w:hAnsi="Times New Roman" w:cs="Times New Roman"/>
          <w:b/>
          <w:sz w:val="24"/>
          <w:szCs w:val="24"/>
        </w:rPr>
        <w:t>Коэффициенты, характеризующие операционную деятельность</w:t>
      </w:r>
    </w:p>
    <w:p w:rsidR="0043196E" w:rsidRPr="0043196E" w:rsidRDefault="0043196E" w:rsidP="0043196E">
      <w:pPr>
        <w:numPr>
          <w:ilvl w:val="2"/>
          <w:numId w:val="14"/>
        </w:numPr>
        <w:spacing w:before="120" w:after="120" w:line="240" w:lineRule="auto"/>
        <w:ind w:left="-567"/>
        <w:jc w:val="both"/>
        <w:rPr>
          <w:rFonts w:ascii="Times New Roman" w:hAnsi="Times New Roman" w:cs="Times New Roman"/>
          <w:b/>
          <w:i/>
          <w:sz w:val="24"/>
          <w:szCs w:val="24"/>
        </w:rPr>
      </w:pPr>
      <w:r w:rsidRPr="0043196E">
        <w:rPr>
          <w:rFonts w:ascii="Times New Roman" w:hAnsi="Times New Roman" w:cs="Times New Roman"/>
          <w:b/>
          <w:i/>
          <w:sz w:val="24"/>
          <w:szCs w:val="24"/>
        </w:rPr>
        <w:t>Период оборота кредиторской задолженности</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sz w:val="24"/>
          <w:szCs w:val="24"/>
        </w:rPr>
        <w:t>Показатель оценивает срок (в днях), в течение которого краткосрочная кредиторская задолженность может быть погашена. Т.е. оценивает платежеспособность организации в краткосрочном периоде перед краткосрочными коммерческими кредиторами.</w:t>
      </w:r>
    </w:p>
    <w:p w:rsidR="0043196E" w:rsidRPr="0043196E" w:rsidRDefault="0043196E" w:rsidP="0043196E">
      <w:pPr>
        <w:spacing w:before="120" w:after="120"/>
        <w:ind w:left="-567"/>
        <w:jc w:val="both"/>
        <w:rPr>
          <w:rFonts w:ascii="Times New Roman" w:hAnsi="Times New Roman" w:cs="Times New Roman"/>
          <w:b/>
          <w:i/>
          <w:sz w:val="24"/>
          <w:szCs w:val="24"/>
        </w:rPr>
      </w:pPr>
      <w:r w:rsidRPr="0043196E">
        <w:rPr>
          <w:rFonts w:ascii="Times New Roman" w:hAnsi="Times New Roman" w:cs="Times New Roman"/>
          <w:sz w:val="24"/>
          <w:szCs w:val="24"/>
        </w:rPr>
        <w:object w:dxaOrig="4780" w:dyaOrig="680">
          <v:shape id="_x0000_i1028" type="#_x0000_t75" style="width:239.05pt;height:34pt" o:ole="">
            <v:imagedata r:id="rId14" o:title=""/>
          </v:shape>
          <o:OLEObject Type="Embed" ProgID="Equation.3" ShapeID="_x0000_i1028" DrawAspect="Content" ObjectID="_1594792739" r:id="rId15"/>
        </w:object>
      </w:r>
    </w:p>
    <w:p w:rsidR="0043196E" w:rsidRPr="0043196E" w:rsidRDefault="0043196E" w:rsidP="0043196E">
      <w:pPr>
        <w:spacing w:before="120" w:after="120"/>
        <w:ind w:left="-567"/>
        <w:jc w:val="both"/>
        <w:rPr>
          <w:rFonts w:ascii="Times New Roman" w:hAnsi="Times New Roman" w:cs="Times New Roman"/>
          <w:b/>
          <w:i/>
          <w:sz w:val="24"/>
          <w:szCs w:val="24"/>
        </w:rPr>
      </w:pPr>
    </w:p>
    <w:p w:rsidR="0043196E" w:rsidRPr="0043196E" w:rsidRDefault="0043196E" w:rsidP="0043196E">
      <w:pPr>
        <w:spacing w:before="120" w:after="120"/>
        <w:ind w:left="-567"/>
        <w:jc w:val="both"/>
        <w:rPr>
          <w:rFonts w:ascii="Times New Roman" w:hAnsi="Times New Roman" w:cs="Times New Roman"/>
          <w:b/>
          <w:i/>
          <w:sz w:val="24"/>
          <w:szCs w:val="24"/>
        </w:rPr>
      </w:pPr>
    </w:p>
    <w:p w:rsidR="0043196E" w:rsidRPr="0043196E" w:rsidRDefault="0043196E" w:rsidP="0043196E">
      <w:pPr>
        <w:numPr>
          <w:ilvl w:val="2"/>
          <w:numId w:val="14"/>
        </w:numPr>
        <w:spacing w:before="120" w:after="120" w:line="240" w:lineRule="auto"/>
        <w:ind w:left="-567"/>
        <w:jc w:val="both"/>
        <w:rPr>
          <w:rFonts w:ascii="Times New Roman" w:hAnsi="Times New Roman" w:cs="Times New Roman"/>
          <w:b/>
          <w:i/>
          <w:sz w:val="24"/>
          <w:szCs w:val="24"/>
        </w:rPr>
      </w:pPr>
      <w:r w:rsidRPr="0043196E">
        <w:rPr>
          <w:rFonts w:ascii="Times New Roman" w:hAnsi="Times New Roman" w:cs="Times New Roman"/>
          <w:b/>
          <w:i/>
          <w:sz w:val="24"/>
          <w:szCs w:val="24"/>
        </w:rPr>
        <w:t>Период оборота дебиторской задолженности.</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sz w:val="24"/>
          <w:szCs w:val="24"/>
        </w:rPr>
        <w:t>Показатель оценивает срок (в днях), в течение которого покупатели в среднем расплачиваются с оцениваемой компанией, т. е. косвенно характеризует платежеспособность покупателей, а также эффективность мероприятий по сбору платежей:</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sz w:val="24"/>
          <w:szCs w:val="24"/>
        </w:rPr>
        <w:object w:dxaOrig="4819" w:dyaOrig="680">
          <v:shape id="_x0000_i1029" type="#_x0000_t75" style="width:239.05pt;height:34pt" o:ole="">
            <v:imagedata r:id="rId16" o:title=""/>
          </v:shape>
          <o:OLEObject Type="Embed" ProgID="Equation.3" ShapeID="_x0000_i1029" DrawAspect="Content" ObjectID="_1594792740" r:id="rId17"/>
        </w:object>
      </w:r>
    </w:p>
    <w:p w:rsidR="0043196E" w:rsidRDefault="0043196E" w:rsidP="0043196E">
      <w:pPr>
        <w:ind w:left="-567"/>
        <w:jc w:val="right"/>
        <w:rPr>
          <w:rFonts w:ascii="Times New Roman" w:hAnsi="Times New Roman" w:cs="Times New Roman"/>
          <w:sz w:val="24"/>
          <w:szCs w:val="24"/>
          <w:lang w:val="en-US"/>
        </w:rPr>
      </w:pPr>
    </w:p>
    <w:p w:rsidR="0086254C" w:rsidRDefault="0086254C" w:rsidP="0043196E">
      <w:pPr>
        <w:ind w:left="-567"/>
        <w:jc w:val="right"/>
        <w:rPr>
          <w:rFonts w:ascii="Times New Roman" w:hAnsi="Times New Roman" w:cs="Times New Roman"/>
          <w:sz w:val="24"/>
          <w:szCs w:val="24"/>
          <w:lang w:val="en-US"/>
        </w:rPr>
      </w:pPr>
    </w:p>
    <w:p w:rsidR="0086254C" w:rsidRDefault="0086254C" w:rsidP="0043196E">
      <w:pPr>
        <w:ind w:left="-567"/>
        <w:jc w:val="right"/>
        <w:rPr>
          <w:rFonts w:ascii="Times New Roman" w:hAnsi="Times New Roman" w:cs="Times New Roman"/>
          <w:sz w:val="24"/>
          <w:szCs w:val="24"/>
          <w:lang w:val="en-US"/>
        </w:rPr>
      </w:pPr>
    </w:p>
    <w:p w:rsidR="0043196E" w:rsidRPr="0043196E" w:rsidRDefault="0043196E" w:rsidP="0043196E">
      <w:pPr>
        <w:ind w:left="-567"/>
        <w:jc w:val="right"/>
        <w:rPr>
          <w:rFonts w:ascii="Times New Roman" w:hAnsi="Times New Roman" w:cs="Times New Roman"/>
          <w:sz w:val="24"/>
          <w:szCs w:val="24"/>
        </w:rPr>
      </w:pPr>
      <w:r w:rsidRPr="0043196E">
        <w:rPr>
          <w:rFonts w:ascii="Times New Roman" w:hAnsi="Times New Roman" w:cs="Times New Roman"/>
          <w:sz w:val="24"/>
          <w:szCs w:val="24"/>
        </w:rPr>
        <w:t>Таблица перевода значений финансовых показателей в баллы по шкале от 0 до 1</w:t>
      </w:r>
    </w:p>
    <w:tbl>
      <w:tblPr>
        <w:tblW w:w="9923" w:type="dxa"/>
        <w:tblInd w:w="-459" w:type="dxa"/>
        <w:tblLayout w:type="fixed"/>
        <w:tblLook w:val="04A0" w:firstRow="1" w:lastRow="0" w:firstColumn="1" w:lastColumn="0" w:noHBand="0" w:noVBand="1"/>
      </w:tblPr>
      <w:tblGrid>
        <w:gridCol w:w="2410"/>
        <w:gridCol w:w="851"/>
        <w:gridCol w:w="630"/>
        <w:gridCol w:w="630"/>
        <w:gridCol w:w="630"/>
        <w:gridCol w:w="630"/>
        <w:gridCol w:w="630"/>
        <w:gridCol w:w="630"/>
        <w:gridCol w:w="630"/>
        <w:gridCol w:w="630"/>
        <w:gridCol w:w="630"/>
        <w:gridCol w:w="992"/>
      </w:tblGrid>
      <w:tr w:rsidR="0043196E" w:rsidRPr="0043196E" w:rsidTr="00906887">
        <w:trPr>
          <w:trHeight w:val="300"/>
        </w:trPr>
        <w:tc>
          <w:tcPr>
            <w:tcW w:w="2410" w:type="dxa"/>
            <w:tcBorders>
              <w:top w:val="single" w:sz="4" w:space="0" w:color="auto"/>
              <w:left w:val="single" w:sz="4" w:space="0" w:color="auto"/>
              <w:bottom w:val="single" w:sz="4" w:space="0" w:color="auto"/>
              <w:right w:val="single" w:sz="4" w:space="0" w:color="auto"/>
            </w:tcBorders>
            <w:shd w:val="clear" w:color="000000" w:fill="F2F2F2"/>
            <w:noWrap/>
            <w:vAlign w:val="bottom"/>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Оценка</w:t>
            </w:r>
          </w:p>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0,0</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0,1</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0,2</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0,3</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0,4</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0,5</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0,6</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0,7</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0,8</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0,9</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1,0</w:t>
            </w:r>
          </w:p>
        </w:tc>
      </w:tr>
      <w:tr w:rsidR="0043196E" w:rsidRPr="0043196E" w:rsidTr="00906887">
        <w:trPr>
          <w:trHeight w:val="600"/>
        </w:trPr>
        <w:tc>
          <w:tcPr>
            <w:tcW w:w="2410" w:type="dxa"/>
            <w:tcBorders>
              <w:top w:val="nil"/>
              <w:left w:val="single" w:sz="4" w:space="0" w:color="auto"/>
              <w:bottom w:val="single" w:sz="4" w:space="0" w:color="auto"/>
              <w:right w:val="single" w:sz="4" w:space="0" w:color="auto"/>
            </w:tcBorders>
            <w:shd w:val="clear" w:color="auto" w:fill="auto"/>
          </w:tcPr>
          <w:p w:rsidR="0043196E" w:rsidRPr="0043196E" w:rsidRDefault="0043196E" w:rsidP="00906887">
            <w:pPr>
              <w:ind w:left="-108"/>
              <w:rPr>
                <w:rFonts w:ascii="Times New Roman" w:hAnsi="Times New Roman" w:cs="Times New Roman"/>
                <w:color w:val="000000"/>
                <w:sz w:val="24"/>
                <w:szCs w:val="24"/>
              </w:rPr>
            </w:pPr>
            <w:r w:rsidRPr="0043196E">
              <w:rPr>
                <w:rFonts w:ascii="Times New Roman" w:hAnsi="Times New Roman" w:cs="Times New Roman"/>
                <w:color w:val="000000"/>
                <w:sz w:val="24"/>
                <w:szCs w:val="24"/>
              </w:rPr>
              <w:lastRenderedPageBreak/>
              <w:t>период оборота дебиторской задолженности, дн</w:t>
            </w:r>
          </w:p>
        </w:tc>
        <w:tc>
          <w:tcPr>
            <w:tcW w:w="851" w:type="dxa"/>
            <w:tcBorders>
              <w:top w:val="nil"/>
              <w:left w:val="nil"/>
              <w:bottom w:val="single" w:sz="4" w:space="0" w:color="auto"/>
              <w:right w:val="single" w:sz="4" w:space="0" w:color="auto"/>
            </w:tcBorders>
            <w:shd w:val="clear" w:color="000000" w:fill="FFE5E5"/>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более 180 дней</w:t>
            </w:r>
          </w:p>
        </w:tc>
        <w:tc>
          <w:tcPr>
            <w:tcW w:w="630"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165</w:t>
            </w:r>
          </w:p>
        </w:tc>
        <w:tc>
          <w:tcPr>
            <w:tcW w:w="630"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150</w:t>
            </w:r>
          </w:p>
        </w:tc>
        <w:tc>
          <w:tcPr>
            <w:tcW w:w="630"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135</w:t>
            </w:r>
          </w:p>
        </w:tc>
        <w:tc>
          <w:tcPr>
            <w:tcW w:w="630" w:type="dxa"/>
            <w:tcBorders>
              <w:top w:val="nil"/>
              <w:left w:val="nil"/>
              <w:bottom w:val="single" w:sz="4" w:space="0" w:color="auto"/>
              <w:right w:val="single" w:sz="4" w:space="0" w:color="auto"/>
            </w:tcBorders>
            <w:shd w:val="clear" w:color="000000" w:fill="F8FFB9"/>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120</w:t>
            </w:r>
          </w:p>
        </w:tc>
        <w:tc>
          <w:tcPr>
            <w:tcW w:w="630" w:type="dxa"/>
            <w:tcBorders>
              <w:top w:val="nil"/>
              <w:left w:val="nil"/>
              <w:bottom w:val="single" w:sz="4" w:space="0" w:color="auto"/>
              <w:right w:val="single" w:sz="4" w:space="0" w:color="auto"/>
            </w:tcBorders>
            <w:shd w:val="clear" w:color="000000" w:fill="F8FFB9"/>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105</w:t>
            </w:r>
          </w:p>
        </w:tc>
        <w:tc>
          <w:tcPr>
            <w:tcW w:w="630"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90</w:t>
            </w:r>
          </w:p>
        </w:tc>
        <w:tc>
          <w:tcPr>
            <w:tcW w:w="630"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75</w:t>
            </w:r>
          </w:p>
        </w:tc>
        <w:tc>
          <w:tcPr>
            <w:tcW w:w="630"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60</w:t>
            </w:r>
          </w:p>
        </w:tc>
        <w:tc>
          <w:tcPr>
            <w:tcW w:w="630"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45</w:t>
            </w:r>
          </w:p>
        </w:tc>
        <w:tc>
          <w:tcPr>
            <w:tcW w:w="992" w:type="dxa"/>
            <w:tcBorders>
              <w:top w:val="nil"/>
              <w:left w:val="nil"/>
              <w:bottom w:val="single" w:sz="4" w:space="0" w:color="auto"/>
              <w:right w:val="single" w:sz="4" w:space="0" w:color="auto"/>
            </w:tcBorders>
            <w:shd w:val="clear" w:color="000000" w:fill="C6FED1"/>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до 30 дней</w:t>
            </w:r>
          </w:p>
        </w:tc>
      </w:tr>
      <w:tr w:rsidR="0043196E" w:rsidRPr="0043196E" w:rsidTr="00906887">
        <w:trPr>
          <w:trHeight w:val="600"/>
        </w:trPr>
        <w:tc>
          <w:tcPr>
            <w:tcW w:w="2410" w:type="dxa"/>
            <w:tcBorders>
              <w:top w:val="nil"/>
              <w:left w:val="single" w:sz="4" w:space="0" w:color="auto"/>
              <w:bottom w:val="single" w:sz="4" w:space="0" w:color="auto"/>
              <w:right w:val="single" w:sz="4" w:space="0" w:color="auto"/>
            </w:tcBorders>
            <w:shd w:val="clear" w:color="auto" w:fill="auto"/>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период оборота кредиторской задолженности, дн</w:t>
            </w:r>
          </w:p>
        </w:tc>
        <w:tc>
          <w:tcPr>
            <w:tcW w:w="851" w:type="dxa"/>
            <w:tcBorders>
              <w:top w:val="nil"/>
              <w:left w:val="nil"/>
              <w:bottom w:val="single" w:sz="4" w:space="0" w:color="auto"/>
              <w:right w:val="single" w:sz="4" w:space="0" w:color="auto"/>
            </w:tcBorders>
            <w:shd w:val="clear" w:color="000000" w:fill="FFE5E5"/>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более 180 дней</w:t>
            </w:r>
          </w:p>
        </w:tc>
        <w:tc>
          <w:tcPr>
            <w:tcW w:w="630"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165</w:t>
            </w:r>
          </w:p>
        </w:tc>
        <w:tc>
          <w:tcPr>
            <w:tcW w:w="630"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150</w:t>
            </w:r>
          </w:p>
        </w:tc>
        <w:tc>
          <w:tcPr>
            <w:tcW w:w="630"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135</w:t>
            </w:r>
          </w:p>
        </w:tc>
        <w:tc>
          <w:tcPr>
            <w:tcW w:w="630" w:type="dxa"/>
            <w:tcBorders>
              <w:top w:val="nil"/>
              <w:left w:val="nil"/>
              <w:bottom w:val="single" w:sz="4" w:space="0" w:color="auto"/>
              <w:right w:val="single" w:sz="4" w:space="0" w:color="auto"/>
            </w:tcBorders>
            <w:shd w:val="clear" w:color="000000" w:fill="F8FFB9"/>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120</w:t>
            </w:r>
          </w:p>
        </w:tc>
        <w:tc>
          <w:tcPr>
            <w:tcW w:w="630" w:type="dxa"/>
            <w:tcBorders>
              <w:top w:val="nil"/>
              <w:left w:val="nil"/>
              <w:bottom w:val="single" w:sz="4" w:space="0" w:color="auto"/>
              <w:right w:val="single" w:sz="4" w:space="0" w:color="auto"/>
            </w:tcBorders>
            <w:shd w:val="clear" w:color="000000" w:fill="F8FFB9"/>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105</w:t>
            </w:r>
          </w:p>
        </w:tc>
        <w:tc>
          <w:tcPr>
            <w:tcW w:w="630"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90</w:t>
            </w:r>
          </w:p>
        </w:tc>
        <w:tc>
          <w:tcPr>
            <w:tcW w:w="630"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75</w:t>
            </w:r>
          </w:p>
        </w:tc>
        <w:tc>
          <w:tcPr>
            <w:tcW w:w="630"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60</w:t>
            </w:r>
          </w:p>
        </w:tc>
        <w:tc>
          <w:tcPr>
            <w:tcW w:w="630"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45</w:t>
            </w:r>
          </w:p>
        </w:tc>
        <w:tc>
          <w:tcPr>
            <w:tcW w:w="992" w:type="dxa"/>
            <w:tcBorders>
              <w:top w:val="nil"/>
              <w:left w:val="nil"/>
              <w:bottom w:val="single" w:sz="4" w:space="0" w:color="auto"/>
              <w:right w:val="single" w:sz="4" w:space="0" w:color="auto"/>
            </w:tcBorders>
            <w:shd w:val="clear" w:color="000000" w:fill="C6FED1"/>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до 30 дней</w:t>
            </w:r>
          </w:p>
        </w:tc>
      </w:tr>
    </w:tbl>
    <w:p w:rsidR="0043196E" w:rsidRPr="0043196E" w:rsidRDefault="0043196E" w:rsidP="0043196E">
      <w:pPr>
        <w:numPr>
          <w:ilvl w:val="1"/>
          <w:numId w:val="14"/>
        </w:numPr>
        <w:spacing w:before="120" w:after="120" w:line="240" w:lineRule="auto"/>
        <w:ind w:left="-567"/>
        <w:jc w:val="both"/>
        <w:rPr>
          <w:rFonts w:ascii="Times New Roman" w:hAnsi="Times New Roman" w:cs="Times New Roman"/>
          <w:b/>
          <w:sz w:val="24"/>
          <w:szCs w:val="24"/>
        </w:rPr>
      </w:pPr>
      <w:r w:rsidRPr="0043196E">
        <w:rPr>
          <w:rFonts w:ascii="Times New Roman" w:hAnsi="Times New Roman" w:cs="Times New Roman"/>
          <w:b/>
          <w:sz w:val="24"/>
          <w:szCs w:val="24"/>
        </w:rPr>
        <w:t>Коэффициенты, характеризующие ликвидность</w:t>
      </w:r>
    </w:p>
    <w:p w:rsidR="0043196E" w:rsidRPr="0043196E" w:rsidRDefault="0043196E" w:rsidP="0043196E">
      <w:pPr>
        <w:numPr>
          <w:ilvl w:val="2"/>
          <w:numId w:val="14"/>
        </w:numPr>
        <w:spacing w:before="120" w:after="120" w:line="240" w:lineRule="auto"/>
        <w:ind w:left="-567"/>
        <w:jc w:val="both"/>
        <w:rPr>
          <w:rFonts w:ascii="Times New Roman" w:hAnsi="Times New Roman" w:cs="Times New Roman"/>
          <w:b/>
          <w:i/>
          <w:sz w:val="24"/>
          <w:szCs w:val="24"/>
        </w:rPr>
      </w:pPr>
      <w:r w:rsidRPr="0043196E">
        <w:rPr>
          <w:rFonts w:ascii="Times New Roman" w:hAnsi="Times New Roman" w:cs="Times New Roman"/>
          <w:b/>
          <w:i/>
          <w:sz w:val="24"/>
          <w:szCs w:val="24"/>
        </w:rPr>
        <w:t>Абсолютная ликвидность</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sz w:val="24"/>
          <w:szCs w:val="24"/>
        </w:rPr>
        <w:t>Абсолютная ликвидность - отражает возможность предприятия погасить свои краткосрочные обязательства практически мгновенно (мгновенная платежеспособность).</w:t>
      </w:r>
    </w:p>
    <w:p w:rsidR="0043196E" w:rsidRPr="0043196E" w:rsidRDefault="0043196E" w:rsidP="0043196E">
      <w:pPr>
        <w:spacing w:before="120" w:after="120"/>
        <w:ind w:left="-567"/>
        <w:jc w:val="both"/>
        <w:rPr>
          <w:rFonts w:ascii="Times New Roman" w:hAnsi="Times New Roman" w:cs="Times New Roman"/>
          <w:sz w:val="24"/>
          <w:szCs w:val="24"/>
          <w:lang w:val="en-US"/>
        </w:rPr>
      </w:pPr>
      <w:r w:rsidRPr="0043196E">
        <w:rPr>
          <w:rFonts w:ascii="Times New Roman" w:hAnsi="Times New Roman" w:cs="Times New Roman"/>
          <w:sz w:val="24"/>
          <w:szCs w:val="24"/>
        </w:rPr>
        <w:object w:dxaOrig="3540" w:dyaOrig="680">
          <v:shape id="_x0000_i1030" type="#_x0000_t75" style="width:176.85pt;height:34pt" o:ole="">
            <v:imagedata r:id="rId18" o:title=""/>
          </v:shape>
          <o:OLEObject Type="Embed" ProgID="Equation.3" ShapeID="_x0000_i1030" DrawAspect="Content" ObjectID="_1594792741" r:id="rId19"/>
        </w:object>
      </w:r>
    </w:p>
    <w:p w:rsidR="0043196E" w:rsidRPr="0043196E" w:rsidRDefault="0043196E" w:rsidP="0043196E">
      <w:pPr>
        <w:numPr>
          <w:ilvl w:val="2"/>
          <w:numId w:val="14"/>
        </w:numPr>
        <w:spacing w:before="120" w:after="120" w:line="240" w:lineRule="auto"/>
        <w:ind w:left="-567"/>
        <w:jc w:val="both"/>
        <w:rPr>
          <w:rFonts w:ascii="Times New Roman" w:hAnsi="Times New Roman" w:cs="Times New Roman"/>
          <w:b/>
          <w:i/>
          <w:sz w:val="24"/>
          <w:szCs w:val="24"/>
        </w:rPr>
      </w:pPr>
      <w:r w:rsidRPr="0043196E">
        <w:rPr>
          <w:rFonts w:ascii="Times New Roman" w:hAnsi="Times New Roman" w:cs="Times New Roman"/>
          <w:b/>
          <w:i/>
          <w:sz w:val="24"/>
          <w:szCs w:val="24"/>
        </w:rPr>
        <w:t>Покрытие внеоборотных активов долгосрочными источниками финансирования</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sz w:val="24"/>
          <w:szCs w:val="24"/>
        </w:rPr>
        <w:t>Коэффициент покрытия внеоборотных активов собственным капиталом  и долгосрочными обязательствами – отражает, в какой степени внеоборотные активы предприятия финансируются долгосрочным капиталом (заемным и собственным). Коэффициент оценивает ликвидность баланса компании</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position w:val="-30"/>
          <w:sz w:val="24"/>
          <w:szCs w:val="24"/>
        </w:rPr>
        <w:object w:dxaOrig="5940" w:dyaOrig="680">
          <v:shape id="_x0000_i1031" type="#_x0000_t75" style="width:296.05pt;height:34pt" o:ole="">
            <v:imagedata r:id="rId20" o:title=""/>
          </v:shape>
          <o:OLEObject Type="Embed" ProgID="Equation.3" ShapeID="_x0000_i1031" DrawAspect="Content" ObjectID="_1594792742" r:id="rId21"/>
        </w:object>
      </w:r>
    </w:p>
    <w:p w:rsidR="0043196E" w:rsidRPr="0043196E" w:rsidRDefault="0043196E" w:rsidP="0043196E">
      <w:pPr>
        <w:ind w:left="-567"/>
        <w:jc w:val="right"/>
        <w:rPr>
          <w:rFonts w:ascii="Times New Roman" w:hAnsi="Times New Roman" w:cs="Times New Roman"/>
          <w:sz w:val="24"/>
          <w:szCs w:val="24"/>
        </w:rPr>
      </w:pPr>
      <w:r w:rsidRPr="0043196E">
        <w:rPr>
          <w:rFonts w:ascii="Times New Roman" w:hAnsi="Times New Roman" w:cs="Times New Roman"/>
          <w:sz w:val="24"/>
          <w:szCs w:val="24"/>
        </w:rPr>
        <w:t>Таблица перевода значений финансовых показателей в баллы по шкале от 0 до 1</w:t>
      </w:r>
    </w:p>
    <w:tbl>
      <w:tblPr>
        <w:tblW w:w="10078" w:type="dxa"/>
        <w:tblInd w:w="-459" w:type="dxa"/>
        <w:tblLayout w:type="fixed"/>
        <w:tblLook w:val="04A0" w:firstRow="1" w:lastRow="0" w:firstColumn="1" w:lastColumn="0" w:noHBand="0" w:noVBand="1"/>
      </w:tblPr>
      <w:tblGrid>
        <w:gridCol w:w="2457"/>
        <w:gridCol w:w="868"/>
        <w:gridCol w:w="653"/>
        <w:gridCol w:w="653"/>
        <w:gridCol w:w="653"/>
        <w:gridCol w:w="653"/>
        <w:gridCol w:w="653"/>
        <w:gridCol w:w="653"/>
        <w:gridCol w:w="653"/>
        <w:gridCol w:w="653"/>
        <w:gridCol w:w="653"/>
        <w:gridCol w:w="876"/>
      </w:tblGrid>
      <w:tr w:rsidR="00A444A4" w:rsidRPr="0043196E" w:rsidTr="00A444A4">
        <w:trPr>
          <w:trHeight w:val="750"/>
        </w:trPr>
        <w:tc>
          <w:tcPr>
            <w:tcW w:w="2457"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Оценка</w:t>
            </w:r>
          </w:p>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(мин 0 - макс 1)</w:t>
            </w:r>
          </w:p>
        </w:tc>
        <w:tc>
          <w:tcPr>
            <w:tcW w:w="868"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0,0</w:t>
            </w:r>
          </w:p>
        </w:tc>
        <w:tc>
          <w:tcPr>
            <w:tcW w:w="653"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0,1</w:t>
            </w:r>
          </w:p>
        </w:tc>
        <w:tc>
          <w:tcPr>
            <w:tcW w:w="653"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0,2</w:t>
            </w:r>
          </w:p>
        </w:tc>
        <w:tc>
          <w:tcPr>
            <w:tcW w:w="653"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0,3</w:t>
            </w:r>
          </w:p>
        </w:tc>
        <w:tc>
          <w:tcPr>
            <w:tcW w:w="653"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0,4</w:t>
            </w:r>
          </w:p>
        </w:tc>
        <w:tc>
          <w:tcPr>
            <w:tcW w:w="653"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0,5</w:t>
            </w:r>
          </w:p>
        </w:tc>
        <w:tc>
          <w:tcPr>
            <w:tcW w:w="653"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0,6</w:t>
            </w:r>
          </w:p>
        </w:tc>
        <w:tc>
          <w:tcPr>
            <w:tcW w:w="653"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0,7</w:t>
            </w:r>
          </w:p>
        </w:tc>
        <w:tc>
          <w:tcPr>
            <w:tcW w:w="653"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0,8</w:t>
            </w:r>
          </w:p>
        </w:tc>
        <w:tc>
          <w:tcPr>
            <w:tcW w:w="653"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0,9</w:t>
            </w:r>
          </w:p>
        </w:tc>
        <w:tc>
          <w:tcPr>
            <w:tcW w:w="876"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1,0</w:t>
            </w:r>
          </w:p>
        </w:tc>
      </w:tr>
      <w:tr w:rsidR="00A444A4" w:rsidRPr="0043196E" w:rsidTr="00A444A4">
        <w:trPr>
          <w:trHeight w:val="549"/>
        </w:trPr>
        <w:tc>
          <w:tcPr>
            <w:tcW w:w="2457" w:type="dxa"/>
            <w:tcBorders>
              <w:top w:val="nil"/>
              <w:left w:val="single" w:sz="4" w:space="0" w:color="auto"/>
              <w:right w:val="single" w:sz="4" w:space="0" w:color="auto"/>
            </w:tcBorders>
            <w:shd w:val="clear" w:color="auto" w:fill="auto"/>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 xml:space="preserve">Абсолютная ликвидность </w:t>
            </w:r>
          </w:p>
        </w:tc>
        <w:tc>
          <w:tcPr>
            <w:tcW w:w="868" w:type="dxa"/>
            <w:tcBorders>
              <w:top w:val="nil"/>
              <w:left w:val="nil"/>
              <w:right w:val="single" w:sz="4" w:space="0" w:color="auto"/>
            </w:tcBorders>
            <w:shd w:val="clear" w:color="000000" w:fill="FFE5E5"/>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менее 0,02</w:t>
            </w:r>
          </w:p>
        </w:tc>
        <w:tc>
          <w:tcPr>
            <w:tcW w:w="653" w:type="dxa"/>
            <w:tcBorders>
              <w:top w:val="nil"/>
              <w:left w:val="nil"/>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0,03</w:t>
            </w:r>
          </w:p>
        </w:tc>
        <w:tc>
          <w:tcPr>
            <w:tcW w:w="653" w:type="dxa"/>
            <w:tcBorders>
              <w:top w:val="nil"/>
              <w:left w:val="nil"/>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0,04</w:t>
            </w:r>
          </w:p>
        </w:tc>
        <w:tc>
          <w:tcPr>
            <w:tcW w:w="653" w:type="dxa"/>
            <w:tcBorders>
              <w:top w:val="nil"/>
              <w:left w:val="nil"/>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0,05</w:t>
            </w:r>
          </w:p>
        </w:tc>
        <w:tc>
          <w:tcPr>
            <w:tcW w:w="653" w:type="dxa"/>
            <w:tcBorders>
              <w:top w:val="nil"/>
              <w:left w:val="nil"/>
              <w:right w:val="single" w:sz="4" w:space="0" w:color="auto"/>
            </w:tcBorders>
            <w:shd w:val="clear" w:color="000000" w:fill="F8FFB9"/>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0,06</w:t>
            </w:r>
          </w:p>
        </w:tc>
        <w:tc>
          <w:tcPr>
            <w:tcW w:w="653" w:type="dxa"/>
            <w:tcBorders>
              <w:top w:val="nil"/>
              <w:left w:val="nil"/>
              <w:right w:val="single" w:sz="4" w:space="0" w:color="auto"/>
            </w:tcBorders>
            <w:shd w:val="clear" w:color="000000" w:fill="F8FFB9"/>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0,07</w:t>
            </w:r>
          </w:p>
        </w:tc>
        <w:tc>
          <w:tcPr>
            <w:tcW w:w="653" w:type="dxa"/>
            <w:tcBorders>
              <w:top w:val="nil"/>
              <w:left w:val="nil"/>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0,09</w:t>
            </w:r>
          </w:p>
        </w:tc>
        <w:tc>
          <w:tcPr>
            <w:tcW w:w="653" w:type="dxa"/>
            <w:tcBorders>
              <w:top w:val="nil"/>
              <w:left w:val="nil"/>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0,1</w:t>
            </w:r>
          </w:p>
        </w:tc>
        <w:tc>
          <w:tcPr>
            <w:tcW w:w="653" w:type="dxa"/>
            <w:tcBorders>
              <w:top w:val="nil"/>
              <w:left w:val="nil"/>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0,13</w:t>
            </w:r>
          </w:p>
        </w:tc>
        <w:tc>
          <w:tcPr>
            <w:tcW w:w="653" w:type="dxa"/>
            <w:tcBorders>
              <w:top w:val="nil"/>
              <w:left w:val="nil"/>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0,17</w:t>
            </w:r>
          </w:p>
        </w:tc>
        <w:tc>
          <w:tcPr>
            <w:tcW w:w="876" w:type="dxa"/>
            <w:tcBorders>
              <w:top w:val="nil"/>
              <w:left w:val="nil"/>
              <w:right w:val="single" w:sz="4" w:space="0" w:color="auto"/>
            </w:tcBorders>
            <w:shd w:val="clear" w:color="000000" w:fill="C6FED1"/>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более 0,2</w:t>
            </w:r>
          </w:p>
        </w:tc>
      </w:tr>
      <w:tr w:rsidR="00A444A4" w:rsidRPr="0043196E" w:rsidTr="00A444A4">
        <w:trPr>
          <w:trHeight w:val="271"/>
        </w:trPr>
        <w:tc>
          <w:tcPr>
            <w:tcW w:w="2457" w:type="dxa"/>
            <w:tcBorders>
              <w:top w:val="nil"/>
              <w:left w:val="single" w:sz="4" w:space="0" w:color="auto"/>
              <w:bottom w:val="single" w:sz="4" w:space="0" w:color="auto"/>
              <w:right w:val="single" w:sz="4" w:space="0" w:color="auto"/>
            </w:tcBorders>
            <w:shd w:val="clear" w:color="auto" w:fill="auto"/>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 xml:space="preserve">Покрытие </w:t>
            </w:r>
            <w:proofErr w:type="spellStart"/>
            <w:r w:rsidRPr="0043196E">
              <w:rPr>
                <w:rFonts w:ascii="Times New Roman" w:hAnsi="Times New Roman" w:cs="Times New Roman"/>
                <w:color w:val="000000"/>
                <w:sz w:val="24"/>
                <w:szCs w:val="24"/>
              </w:rPr>
              <w:t>внеоборотных</w:t>
            </w:r>
            <w:proofErr w:type="spellEnd"/>
            <w:r w:rsidRPr="0043196E">
              <w:rPr>
                <w:rFonts w:ascii="Times New Roman" w:hAnsi="Times New Roman" w:cs="Times New Roman"/>
                <w:color w:val="000000"/>
                <w:sz w:val="24"/>
                <w:szCs w:val="24"/>
              </w:rPr>
              <w:t xml:space="preserve"> активов долгосрочными источниками финансирования</w:t>
            </w:r>
          </w:p>
        </w:tc>
        <w:tc>
          <w:tcPr>
            <w:tcW w:w="868" w:type="dxa"/>
            <w:tcBorders>
              <w:top w:val="nil"/>
              <w:left w:val="nil"/>
              <w:bottom w:val="single" w:sz="4" w:space="0" w:color="auto"/>
              <w:right w:val="single" w:sz="4" w:space="0" w:color="auto"/>
            </w:tcBorders>
            <w:shd w:val="clear" w:color="000000" w:fill="FFE5E5"/>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более 1,8</w:t>
            </w:r>
          </w:p>
        </w:tc>
        <w:tc>
          <w:tcPr>
            <w:tcW w:w="653"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1,7</w:t>
            </w:r>
          </w:p>
        </w:tc>
        <w:tc>
          <w:tcPr>
            <w:tcW w:w="653"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1,6</w:t>
            </w:r>
          </w:p>
        </w:tc>
        <w:tc>
          <w:tcPr>
            <w:tcW w:w="653"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1,5</w:t>
            </w:r>
          </w:p>
        </w:tc>
        <w:tc>
          <w:tcPr>
            <w:tcW w:w="653" w:type="dxa"/>
            <w:tcBorders>
              <w:top w:val="nil"/>
              <w:left w:val="nil"/>
              <w:bottom w:val="single" w:sz="4" w:space="0" w:color="auto"/>
              <w:right w:val="single" w:sz="4" w:space="0" w:color="auto"/>
            </w:tcBorders>
            <w:shd w:val="clear" w:color="000000" w:fill="F8FFB9"/>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1,4</w:t>
            </w:r>
          </w:p>
        </w:tc>
        <w:tc>
          <w:tcPr>
            <w:tcW w:w="653" w:type="dxa"/>
            <w:tcBorders>
              <w:top w:val="nil"/>
              <w:left w:val="nil"/>
              <w:bottom w:val="single" w:sz="4" w:space="0" w:color="auto"/>
              <w:right w:val="single" w:sz="4" w:space="0" w:color="auto"/>
            </w:tcBorders>
            <w:shd w:val="clear" w:color="000000" w:fill="F8FFB9"/>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1,3</w:t>
            </w:r>
          </w:p>
        </w:tc>
        <w:tc>
          <w:tcPr>
            <w:tcW w:w="653"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1,2</w:t>
            </w:r>
          </w:p>
        </w:tc>
        <w:tc>
          <w:tcPr>
            <w:tcW w:w="653"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1,1</w:t>
            </w:r>
          </w:p>
        </w:tc>
        <w:tc>
          <w:tcPr>
            <w:tcW w:w="653"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w:t>
            </w:r>
          </w:p>
        </w:tc>
        <w:tc>
          <w:tcPr>
            <w:tcW w:w="653"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0,9</w:t>
            </w:r>
          </w:p>
        </w:tc>
        <w:tc>
          <w:tcPr>
            <w:tcW w:w="876" w:type="dxa"/>
            <w:tcBorders>
              <w:top w:val="nil"/>
              <w:left w:val="nil"/>
              <w:bottom w:val="single" w:sz="4" w:space="0" w:color="auto"/>
              <w:right w:val="single" w:sz="4" w:space="0" w:color="auto"/>
            </w:tcBorders>
            <w:shd w:val="clear" w:color="000000" w:fill="C6FED1"/>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менее 0,8</w:t>
            </w:r>
          </w:p>
        </w:tc>
      </w:tr>
    </w:tbl>
    <w:p w:rsidR="0043196E" w:rsidRPr="0043196E" w:rsidRDefault="00906887" w:rsidP="00906887">
      <w:pPr>
        <w:pStyle w:val="2"/>
      </w:pPr>
      <w:bookmarkStart w:id="51" w:name="_Toc326066016"/>
      <w:bookmarkStart w:id="52" w:name="_Toc326066286"/>
      <w:bookmarkStart w:id="53" w:name="_Toc326067317"/>
      <w:bookmarkStart w:id="54" w:name="_Toc516132525"/>
      <w:bookmarkStart w:id="55" w:name="_Toc519591607"/>
      <w:bookmarkStart w:id="56" w:name="_Toc322961181"/>
      <w:r>
        <w:t xml:space="preserve">7. </w:t>
      </w:r>
      <w:r w:rsidR="0043196E" w:rsidRPr="0043196E">
        <w:t>Группа показателей бизнес-риска</w:t>
      </w:r>
      <w:bookmarkEnd w:id="51"/>
      <w:bookmarkEnd w:id="52"/>
      <w:bookmarkEnd w:id="53"/>
      <w:bookmarkEnd w:id="54"/>
      <w:bookmarkEnd w:id="55"/>
      <w:r w:rsidR="0043196E" w:rsidRPr="0043196E">
        <w:t xml:space="preserve"> </w:t>
      </w:r>
      <w:bookmarkEnd w:id="56"/>
    </w:p>
    <w:p w:rsidR="0043196E" w:rsidRPr="00906887" w:rsidRDefault="00906887" w:rsidP="00906887">
      <w:pPr>
        <w:spacing w:before="120" w:after="120"/>
        <w:ind w:left="-567" w:hanging="709"/>
        <w:rPr>
          <w:rFonts w:ascii="Times New Roman" w:eastAsia="Times New Roman" w:hAnsi="Times New Roman" w:cs="Times New Roman"/>
          <w:b/>
          <w:bCs/>
          <w:kern w:val="32"/>
          <w:sz w:val="24"/>
          <w:szCs w:val="24"/>
          <w:lang w:eastAsia="ru-RU"/>
        </w:rPr>
      </w:pPr>
      <w:r w:rsidRPr="00906887">
        <w:rPr>
          <w:rFonts w:ascii="Times New Roman" w:eastAsia="Times New Roman" w:hAnsi="Times New Roman" w:cs="Times New Roman"/>
          <w:b/>
          <w:bCs/>
          <w:kern w:val="32"/>
          <w:sz w:val="24"/>
          <w:szCs w:val="24"/>
          <w:lang w:eastAsia="ru-RU"/>
        </w:rPr>
        <w:t xml:space="preserve">7.1. </w:t>
      </w:r>
      <w:r w:rsidR="00F141EB">
        <w:rPr>
          <w:rFonts w:ascii="Times New Roman" w:eastAsia="Times New Roman" w:hAnsi="Times New Roman" w:cs="Times New Roman"/>
          <w:b/>
          <w:bCs/>
          <w:kern w:val="32"/>
          <w:sz w:val="24"/>
          <w:szCs w:val="24"/>
          <w:lang w:eastAsia="ru-RU"/>
        </w:rPr>
        <w:t xml:space="preserve">     </w:t>
      </w:r>
      <w:r w:rsidR="0043196E" w:rsidRPr="00906887">
        <w:rPr>
          <w:rFonts w:ascii="Times New Roman" w:eastAsia="Times New Roman" w:hAnsi="Times New Roman" w:cs="Times New Roman"/>
          <w:b/>
          <w:bCs/>
          <w:kern w:val="32"/>
          <w:sz w:val="24"/>
          <w:szCs w:val="24"/>
          <w:lang w:eastAsia="ru-RU"/>
        </w:rPr>
        <w:t>Соответствие масштабов деятельности участника закупочной процедуры сумме закупки (в сравнении с активами, с выручкой)</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sz w:val="24"/>
          <w:szCs w:val="24"/>
        </w:rPr>
        <w:lastRenderedPageBreak/>
        <w:t>Методикой предусмотрен принцип оценки, согласно которому понятие финансовой устойчивости включает в себя планомерное стабильное развитие оцениваемых компаний, исключающих значительные колебания результатов деятельности – выручки и прибыли. 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может негативно повлиять на их финансовую устойчивость. Поэтому для всех участников закупочных процедур, включая компании, имеющие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rsidR="0043196E" w:rsidRPr="0043196E" w:rsidRDefault="0043196E" w:rsidP="0043196E">
      <w:pPr>
        <w:spacing w:before="120" w:after="120"/>
        <w:ind w:left="-567"/>
        <w:jc w:val="right"/>
        <w:rPr>
          <w:rFonts w:ascii="Times New Roman" w:hAnsi="Times New Roman" w:cs="Times New Roman"/>
          <w:sz w:val="24"/>
          <w:szCs w:val="24"/>
        </w:rPr>
      </w:pPr>
      <w:r w:rsidRPr="0043196E">
        <w:rPr>
          <w:rFonts w:ascii="Times New Roman" w:hAnsi="Times New Roman" w:cs="Times New Roman"/>
          <w:sz w:val="24"/>
          <w:szCs w:val="24"/>
        </w:rPr>
        <w:t>Таблица перевода значений показателей в баллы по шкале от 0 до 1</w:t>
      </w:r>
    </w:p>
    <w:tbl>
      <w:tblPr>
        <w:tblW w:w="9923" w:type="dxa"/>
        <w:tblInd w:w="-459" w:type="dxa"/>
        <w:tblLayout w:type="fixed"/>
        <w:tblLook w:val="04A0" w:firstRow="1" w:lastRow="0" w:firstColumn="1" w:lastColumn="0" w:noHBand="0" w:noVBand="1"/>
      </w:tblPr>
      <w:tblGrid>
        <w:gridCol w:w="2410"/>
        <w:gridCol w:w="851"/>
        <w:gridCol w:w="630"/>
        <w:gridCol w:w="630"/>
        <w:gridCol w:w="630"/>
        <w:gridCol w:w="630"/>
        <w:gridCol w:w="630"/>
        <w:gridCol w:w="630"/>
        <w:gridCol w:w="630"/>
        <w:gridCol w:w="630"/>
        <w:gridCol w:w="630"/>
        <w:gridCol w:w="992"/>
      </w:tblGrid>
      <w:tr w:rsidR="0043196E" w:rsidRPr="0043196E" w:rsidTr="00906887">
        <w:trPr>
          <w:trHeight w:val="300"/>
        </w:trPr>
        <w:tc>
          <w:tcPr>
            <w:tcW w:w="2410"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Оценка</w:t>
            </w:r>
          </w:p>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0,0</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0,1</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0,2</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0,3</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0,4</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0,5</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0,6</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0,7</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0,8</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0,9</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1,0</w:t>
            </w:r>
          </w:p>
        </w:tc>
      </w:tr>
      <w:tr w:rsidR="0043196E" w:rsidRPr="0043196E" w:rsidTr="00906887">
        <w:trPr>
          <w:trHeight w:val="795"/>
        </w:trPr>
        <w:tc>
          <w:tcPr>
            <w:tcW w:w="2410" w:type="dxa"/>
            <w:tcBorders>
              <w:top w:val="nil"/>
              <w:left w:val="single" w:sz="4" w:space="0" w:color="auto"/>
              <w:bottom w:val="single" w:sz="4" w:space="0" w:color="auto"/>
              <w:right w:val="single" w:sz="4" w:space="0" w:color="auto"/>
            </w:tcBorders>
            <w:shd w:val="clear" w:color="auto" w:fill="auto"/>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Сумма закупки / Годовая выручка</w:t>
            </w:r>
          </w:p>
        </w:tc>
        <w:tc>
          <w:tcPr>
            <w:tcW w:w="851" w:type="dxa"/>
            <w:tcBorders>
              <w:top w:val="nil"/>
              <w:left w:val="nil"/>
              <w:bottom w:val="single" w:sz="4" w:space="0" w:color="auto"/>
              <w:right w:val="single" w:sz="4" w:space="0" w:color="auto"/>
            </w:tcBorders>
            <w:shd w:val="clear" w:color="000000" w:fill="FFE5E5"/>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 xml:space="preserve">более </w:t>
            </w:r>
            <w:r w:rsidRPr="0043196E">
              <w:rPr>
                <w:rFonts w:ascii="Times New Roman" w:hAnsi="Times New Roman" w:cs="Times New Roman"/>
                <w:color w:val="000000"/>
                <w:sz w:val="24"/>
                <w:szCs w:val="24"/>
                <w:lang w:val="en-US"/>
              </w:rPr>
              <w:t>1.4</w:t>
            </w:r>
          </w:p>
        </w:tc>
        <w:tc>
          <w:tcPr>
            <w:tcW w:w="630"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1.2</w:t>
            </w:r>
          </w:p>
        </w:tc>
        <w:tc>
          <w:tcPr>
            <w:tcW w:w="630"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1</w:t>
            </w:r>
          </w:p>
        </w:tc>
        <w:tc>
          <w:tcPr>
            <w:tcW w:w="630"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0.8</w:t>
            </w:r>
          </w:p>
        </w:tc>
        <w:tc>
          <w:tcPr>
            <w:tcW w:w="630" w:type="dxa"/>
            <w:tcBorders>
              <w:top w:val="nil"/>
              <w:left w:val="nil"/>
              <w:bottom w:val="single" w:sz="4" w:space="0" w:color="auto"/>
              <w:right w:val="single" w:sz="4" w:space="0" w:color="auto"/>
            </w:tcBorders>
            <w:shd w:val="clear" w:color="000000" w:fill="F8FFB9"/>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0.6</w:t>
            </w:r>
          </w:p>
        </w:tc>
        <w:tc>
          <w:tcPr>
            <w:tcW w:w="630" w:type="dxa"/>
            <w:tcBorders>
              <w:top w:val="nil"/>
              <w:left w:val="nil"/>
              <w:bottom w:val="single" w:sz="4" w:space="0" w:color="auto"/>
              <w:right w:val="single" w:sz="4" w:space="0" w:color="auto"/>
            </w:tcBorders>
            <w:shd w:val="clear" w:color="000000" w:fill="F8FFB9"/>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0.46</w:t>
            </w:r>
          </w:p>
        </w:tc>
        <w:tc>
          <w:tcPr>
            <w:tcW w:w="630"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0.33</w:t>
            </w:r>
          </w:p>
        </w:tc>
        <w:tc>
          <w:tcPr>
            <w:tcW w:w="630"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0,2</w:t>
            </w:r>
          </w:p>
        </w:tc>
        <w:tc>
          <w:tcPr>
            <w:tcW w:w="630"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0,15</w:t>
            </w:r>
          </w:p>
        </w:tc>
        <w:tc>
          <w:tcPr>
            <w:tcW w:w="630"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0,1</w:t>
            </w:r>
          </w:p>
        </w:tc>
        <w:tc>
          <w:tcPr>
            <w:tcW w:w="992" w:type="dxa"/>
            <w:tcBorders>
              <w:top w:val="nil"/>
              <w:left w:val="nil"/>
              <w:bottom w:val="single" w:sz="4" w:space="0" w:color="auto"/>
              <w:right w:val="single" w:sz="4" w:space="0" w:color="auto"/>
            </w:tcBorders>
            <w:shd w:val="clear" w:color="000000" w:fill="C6FED1"/>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 xml:space="preserve">менее </w:t>
            </w:r>
            <w:r w:rsidRPr="0043196E">
              <w:rPr>
                <w:rFonts w:ascii="Times New Roman" w:hAnsi="Times New Roman" w:cs="Times New Roman"/>
                <w:color w:val="000000"/>
                <w:sz w:val="24"/>
                <w:szCs w:val="24"/>
                <w:lang w:val="en-US"/>
              </w:rPr>
              <w:t>0.05</w:t>
            </w:r>
          </w:p>
        </w:tc>
      </w:tr>
      <w:tr w:rsidR="0043196E" w:rsidRPr="0043196E" w:rsidTr="00906887">
        <w:trPr>
          <w:trHeight w:val="795"/>
        </w:trPr>
        <w:tc>
          <w:tcPr>
            <w:tcW w:w="2410" w:type="dxa"/>
            <w:tcBorders>
              <w:top w:val="nil"/>
              <w:left w:val="single" w:sz="4" w:space="0" w:color="auto"/>
              <w:bottom w:val="single" w:sz="4" w:space="0" w:color="auto"/>
              <w:right w:val="single" w:sz="4" w:space="0" w:color="auto"/>
            </w:tcBorders>
            <w:shd w:val="clear" w:color="auto" w:fill="auto"/>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Сумма закупки / Активы</w:t>
            </w:r>
          </w:p>
        </w:tc>
        <w:tc>
          <w:tcPr>
            <w:tcW w:w="851" w:type="dxa"/>
            <w:tcBorders>
              <w:top w:val="nil"/>
              <w:left w:val="nil"/>
              <w:bottom w:val="single" w:sz="4" w:space="0" w:color="auto"/>
              <w:right w:val="single" w:sz="4" w:space="0" w:color="auto"/>
            </w:tcBorders>
            <w:shd w:val="clear" w:color="000000" w:fill="FFE5E5"/>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 xml:space="preserve">более </w:t>
            </w:r>
            <w:r w:rsidRPr="0043196E">
              <w:rPr>
                <w:rFonts w:ascii="Times New Roman" w:hAnsi="Times New Roman" w:cs="Times New Roman"/>
                <w:color w:val="000000"/>
                <w:sz w:val="24"/>
                <w:szCs w:val="24"/>
                <w:lang w:val="en-US"/>
              </w:rPr>
              <w:t>2.8</w:t>
            </w:r>
          </w:p>
        </w:tc>
        <w:tc>
          <w:tcPr>
            <w:tcW w:w="630"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2.4</w:t>
            </w:r>
          </w:p>
        </w:tc>
        <w:tc>
          <w:tcPr>
            <w:tcW w:w="630"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2</w:t>
            </w:r>
          </w:p>
        </w:tc>
        <w:tc>
          <w:tcPr>
            <w:tcW w:w="630" w:type="dxa"/>
            <w:tcBorders>
              <w:top w:val="nil"/>
              <w:left w:val="nil"/>
              <w:bottom w:val="single" w:sz="4" w:space="0" w:color="auto"/>
              <w:right w:val="single" w:sz="4" w:space="0" w:color="auto"/>
            </w:tcBorders>
            <w:shd w:val="clear" w:color="000000" w:fill="FFE5E5"/>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1.6</w:t>
            </w:r>
          </w:p>
        </w:tc>
        <w:tc>
          <w:tcPr>
            <w:tcW w:w="630" w:type="dxa"/>
            <w:tcBorders>
              <w:top w:val="nil"/>
              <w:left w:val="nil"/>
              <w:bottom w:val="single" w:sz="4" w:space="0" w:color="auto"/>
              <w:right w:val="single" w:sz="4" w:space="0" w:color="auto"/>
            </w:tcBorders>
            <w:shd w:val="clear" w:color="000000" w:fill="F8FFB9"/>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1.2</w:t>
            </w:r>
          </w:p>
        </w:tc>
        <w:tc>
          <w:tcPr>
            <w:tcW w:w="630" w:type="dxa"/>
            <w:tcBorders>
              <w:top w:val="nil"/>
              <w:left w:val="nil"/>
              <w:bottom w:val="single" w:sz="4" w:space="0" w:color="auto"/>
              <w:right w:val="single" w:sz="4" w:space="0" w:color="auto"/>
            </w:tcBorders>
            <w:shd w:val="clear" w:color="000000" w:fill="F8FFB9"/>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0.92</w:t>
            </w:r>
          </w:p>
        </w:tc>
        <w:tc>
          <w:tcPr>
            <w:tcW w:w="630"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0.66</w:t>
            </w:r>
          </w:p>
        </w:tc>
        <w:tc>
          <w:tcPr>
            <w:tcW w:w="630"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0,4</w:t>
            </w:r>
          </w:p>
        </w:tc>
        <w:tc>
          <w:tcPr>
            <w:tcW w:w="630"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0,3</w:t>
            </w:r>
          </w:p>
        </w:tc>
        <w:tc>
          <w:tcPr>
            <w:tcW w:w="630" w:type="dxa"/>
            <w:tcBorders>
              <w:top w:val="nil"/>
              <w:left w:val="nil"/>
              <w:bottom w:val="single" w:sz="4" w:space="0" w:color="auto"/>
              <w:right w:val="single" w:sz="4" w:space="0" w:color="auto"/>
            </w:tcBorders>
            <w:shd w:val="clear" w:color="000000" w:fill="C6FED1"/>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0,2</w:t>
            </w:r>
          </w:p>
        </w:tc>
        <w:tc>
          <w:tcPr>
            <w:tcW w:w="992" w:type="dxa"/>
            <w:tcBorders>
              <w:top w:val="nil"/>
              <w:left w:val="nil"/>
              <w:bottom w:val="single" w:sz="4" w:space="0" w:color="auto"/>
              <w:right w:val="single" w:sz="4" w:space="0" w:color="auto"/>
            </w:tcBorders>
            <w:shd w:val="clear" w:color="000000" w:fill="C6FED1"/>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 xml:space="preserve">менее </w:t>
            </w:r>
            <w:r w:rsidRPr="0043196E">
              <w:rPr>
                <w:rFonts w:ascii="Times New Roman" w:hAnsi="Times New Roman" w:cs="Times New Roman"/>
                <w:color w:val="000000"/>
                <w:sz w:val="24"/>
                <w:szCs w:val="24"/>
                <w:lang w:val="en-US"/>
              </w:rPr>
              <w:t>0.1</w:t>
            </w:r>
          </w:p>
        </w:tc>
      </w:tr>
    </w:tbl>
    <w:p w:rsidR="0043196E" w:rsidRDefault="0043196E" w:rsidP="0043196E">
      <w:pPr>
        <w:spacing w:before="120" w:after="120"/>
        <w:ind w:left="-567"/>
        <w:jc w:val="both"/>
        <w:rPr>
          <w:rFonts w:ascii="Times New Roman" w:hAnsi="Times New Roman" w:cs="Times New Roman"/>
          <w:sz w:val="24"/>
          <w:szCs w:val="24"/>
        </w:rPr>
      </w:pPr>
    </w:p>
    <w:p w:rsidR="0043196E" w:rsidRPr="0043196E" w:rsidRDefault="00906887" w:rsidP="00906887">
      <w:pPr>
        <w:pStyle w:val="aa"/>
        <w:spacing w:before="120" w:after="120"/>
        <w:ind w:left="-567" w:hanging="709"/>
        <w:rPr>
          <w:b/>
        </w:rPr>
      </w:pPr>
      <w:r>
        <w:rPr>
          <w:b/>
        </w:rPr>
        <w:t xml:space="preserve">7.2. </w:t>
      </w:r>
      <w:r w:rsidR="00F141EB">
        <w:rPr>
          <w:b/>
        </w:rPr>
        <w:t xml:space="preserve">    </w:t>
      </w:r>
      <w:r w:rsidR="0043196E" w:rsidRPr="0043196E">
        <w:rPr>
          <w:b/>
        </w:rPr>
        <w:t>Оценка соответствия участника минимальным качественным требованиям в рамках финансово-экономической экспертизы</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sz w:val="24"/>
          <w:szCs w:val="24"/>
        </w:rPr>
        <w:t>Помимо обязательной справки о перечне и объемах выполнения аналогичных договоров, предоставляемой участниками, составить представление о наличии / отсутствии релевантного опыта можно на основании косвенных признаков. Такую задачу в рамках финансово-экономической экспертизы решает оценка участников закупочной процедуры на предмет соответствия минимальным качественным требованиям. Когда компания имеет продолжительную историю существования, достаточную численность персонала и при этом ее основной вид деятельности соответствует предмету закупки, в таком случае делается вывод о ее потенциальной способности осуществить необходимую поставку или оказать услугу.</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sz w:val="24"/>
          <w:szCs w:val="24"/>
        </w:rPr>
        <w:t>Будучи формализована в численном выражении оценка по критерию «срок существования компании» участвует в формировании итоговой оценки по направлению финансово-экономической экспертизы. Являясь предметом других видов экспертизы, в частности юридической и технической экспертизы, оценки по критериям «соответствие основного вида деятельности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w:t>
      </w:r>
    </w:p>
    <w:p w:rsidR="0043196E" w:rsidRPr="0043196E" w:rsidRDefault="0043196E" w:rsidP="0043196E">
      <w:pPr>
        <w:spacing w:before="120" w:after="120"/>
        <w:ind w:left="-567"/>
        <w:jc w:val="right"/>
        <w:rPr>
          <w:rFonts w:ascii="Times New Roman" w:hAnsi="Times New Roman" w:cs="Times New Roman"/>
          <w:sz w:val="24"/>
          <w:szCs w:val="24"/>
        </w:rPr>
      </w:pPr>
      <w:r w:rsidRPr="0043196E">
        <w:rPr>
          <w:rFonts w:ascii="Times New Roman" w:hAnsi="Times New Roman" w:cs="Times New Roman"/>
          <w:sz w:val="24"/>
          <w:szCs w:val="24"/>
        </w:rPr>
        <w:t>Таблица перевода показателей в баллы по шкале от 0 до 1</w:t>
      </w: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567"/>
        <w:gridCol w:w="567"/>
        <w:gridCol w:w="567"/>
        <w:gridCol w:w="567"/>
        <w:gridCol w:w="614"/>
        <w:gridCol w:w="614"/>
        <w:gridCol w:w="614"/>
        <w:gridCol w:w="780"/>
        <w:gridCol w:w="780"/>
        <w:gridCol w:w="850"/>
      </w:tblGrid>
      <w:tr w:rsidR="0043196E" w:rsidRPr="0043196E" w:rsidTr="00906887">
        <w:trPr>
          <w:trHeight w:val="300"/>
        </w:trPr>
        <w:tc>
          <w:tcPr>
            <w:tcW w:w="2410" w:type="dxa"/>
            <w:shd w:val="clear" w:color="000000" w:fill="F2F2F2"/>
            <w:noWrap/>
            <w:vAlign w:val="bottom"/>
          </w:tcPr>
          <w:p w:rsidR="0043196E" w:rsidRPr="0043196E" w:rsidRDefault="0043196E" w:rsidP="00906887">
            <w:pPr>
              <w:ind w:left="-108"/>
              <w:rPr>
                <w:rFonts w:ascii="Times New Roman" w:hAnsi="Times New Roman" w:cs="Times New Roman"/>
                <w:color w:val="000000"/>
                <w:sz w:val="24"/>
                <w:szCs w:val="24"/>
              </w:rPr>
            </w:pPr>
            <w:r w:rsidRPr="0043196E">
              <w:rPr>
                <w:rFonts w:ascii="Times New Roman" w:hAnsi="Times New Roman" w:cs="Times New Roman"/>
                <w:color w:val="000000"/>
                <w:sz w:val="24"/>
                <w:szCs w:val="24"/>
              </w:rPr>
              <w:lastRenderedPageBreak/>
              <w:t>Оценка</w:t>
            </w:r>
          </w:p>
          <w:p w:rsidR="0043196E" w:rsidRPr="0043196E" w:rsidRDefault="0043196E" w:rsidP="00906887">
            <w:pPr>
              <w:ind w:left="-108"/>
              <w:rPr>
                <w:rFonts w:ascii="Times New Roman" w:hAnsi="Times New Roman" w:cs="Times New Roman"/>
                <w:color w:val="000000"/>
                <w:sz w:val="24"/>
                <w:szCs w:val="24"/>
              </w:rPr>
            </w:pPr>
            <w:r w:rsidRPr="0043196E">
              <w:rPr>
                <w:rFonts w:ascii="Times New Roman" w:hAnsi="Times New Roman" w:cs="Times New Roman"/>
                <w:color w:val="000000"/>
                <w:sz w:val="24"/>
                <w:szCs w:val="24"/>
              </w:rPr>
              <w:t>(мин 0 - макс 1)</w:t>
            </w:r>
          </w:p>
        </w:tc>
        <w:tc>
          <w:tcPr>
            <w:tcW w:w="851" w:type="dxa"/>
            <w:shd w:val="clear" w:color="000000" w:fill="F2F2F2"/>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0,0</w:t>
            </w:r>
          </w:p>
        </w:tc>
        <w:tc>
          <w:tcPr>
            <w:tcW w:w="567" w:type="dxa"/>
            <w:shd w:val="clear" w:color="000000" w:fill="F2F2F2"/>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0,1</w:t>
            </w:r>
          </w:p>
        </w:tc>
        <w:tc>
          <w:tcPr>
            <w:tcW w:w="567" w:type="dxa"/>
            <w:shd w:val="clear" w:color="000000" w:fill="F2F2F2"/>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0,2</w:t>
            </w:r>
          </w:p>
        </w:tc>
        <w:tc>
          <w:tcPr>
            <w:tcW w:w="567" w:type="dxa"/>
            <w:shd w:val="clear" w:color="000000" w:fill="F2F2F2"/>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0,3</w:t>
            </w:r>
          </w:p>
        </w:tc>
        <w:tc>
          <w:tcPr>
            <w:tcW w:w="567" w:type="dxa"/>
            <w:shd w:val="clear" w:color="000000" w:fill="F2F2F2"/>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0,4</w:t>
            </w:r>
          </w:p>
        </w:tc>
        <w:tc>
          <w:tcPr>
            <w:tcW w:w="614" w:type="dxa"/>
            <w:shd w:val="clear" w:color="000000" w:fill="F2F2F2"/>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0,5</w:t>
            </w:r>
          </w:p>
        </w:tc>
        <w:tc>
          <w:tcPr>
            <w:tcW w:w="614" w:type="dxa"/>
            <w:shd w:val="clear" w:color="000000" w:fill="F2F2F2"/>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0,6</w:t>
            </w:r>
          </w:p>
        </w:tc>
        <w:tc>
          <w:tcPr>
            <w:tcW w:w="614" w:type="dxa"/>
            <w:shd w:val="clear" w:color="000000" w:fill="F2F2F2"/>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0,7</w:t>
            </w:r>
          </w:p>
        </w:tc>
        <w:tc>
          <w:tcPr>
            <w:tcW w:w="780" w:type="dxa"/>
            <w:shd w:val="clear" w:color="000000" w:fill="F2F2F2"/>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0,8</w:t>
            </w:r>
          </w:p>
        </w:tc>
        <w:tc>
          <w:tcPr>
            <w:tcW w:w="780" w:type="dxa"/>
            <w:shd w:val="clear" w:color="000000" w:fill="F2F2F2"/>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0,9</w:t>
            </w:r>
          </w:p>
        </w:tc>
        <w:tc>
          <w:tcPr>
            <w:tcW w:w="850" w:type="dxa"/>
            <w:shd w:val="clear" w:color="000000" w:fill="F2F2F2"/>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1,0</w:t>
            </w:r>
          </w:p>
        </w:tc>
      </w:tr>
      <w:tr w:rsidR="0043196E" w:rsidRPr="0043196E" w:rsidTr="00906887">
        <w:trPr>
          <w:trHeight w:val="600"/>
        </w:trPr>
        <w:tc>
          <w:tcPr>
            <w:tcW w:w="2410" w:type="dxa"/>
            <w:shd w:val="clear" w:color="auto" w:fill="auto"/>
          </w:tcPr>
          <w:p w:rsidR="0043196E" w:rsidRPr="0043196E" w:rsidRDefault="0043196E" w:rsidP="00906887">
            <w:pPr>
              <w:ind w:left="-108"/>
              <w:rPr>
                <w:rFonts w:ascii="Times New Roman" w:hAnsi="Times New Roman" w:cs="Times New Roman"/>
                <w:color w:val="000000"/>
                <w:sz w:val="24"/>
                <w:szCs w:val="24"/>
              </w:rPr>
            </w:pPr>
            <w:r w:rsidRPr="0043196E">
              <w:rPr>
                <w:rFonts w:ascii="Times New Roman" w:hAnsi="Times New Roman" w:cs="Times New Roman"/>
                <w:color w:val="000000"/>
                <w:sz w:val="24"/>
                <w:szCs w:val="24"/>
              </w:rPr>
              <w:t>срок существования компании, лет</w:t>
            </w:r>
          </w:p>
        </w:tc>
        <w:tc>
          <w:tcPr>
            <w:tcW w:w="851" w:type="dxa"/>
            <w:shd w:val="clear" w:color="000000" w:fill="FFE5E5"/>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менее 1 года</w:t>
            </w:r>
          </w:p>
        </w:tc>
        <w:tc>
          <w:tcPr>
            <w:tcW w:w="567" w:type="dxa"/>
            <w:shd w:val="clear" w:color="000000" w:fill="FFE5E5"/>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1,4</w:t>
            </w:r>
          </w:p>
        </w:tc>
        <w:tc>
          <w:tcPr>
            <w:tcW w:w="567" w:type="dxa"/>
            <w:shd w:val="clear" w:color="000000" w:fill="FFE5E5"/>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1,8</w:t>
            </w:r>
          </w:p>
        </w:tc>
        <w:tc>
          <w:tcPr>
            <w:tcW w:w="567" w:type="dxa"/>
            <w:shd w:val="clear" w:color="000000" w:fill="FFE5E5"/>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2,2</w:t>
            </w:r>
          </w:p>
        </w:tc>
        <w:tc>
          <w:tcPr>
            <w:tcW w:w="567" w:type="dxa"/>
            <w:shd w:val="clear" w:color="000000" w:fill="F8FFB9"/>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2,6</w:t>
            </w:r>
          </w:p>
        </w:tc>
        <w:tc>
          <w:tcPr>
            <w:tcW w:w="614" w:type="dxa"/>
            <w:shd w:val="clear" w:color="000000" w:fill="F8FFB9"/>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3</w:t>
            </w:r>
          </w:p>
        </w:tc>
        <w:tc>
          <w:tcPr>
            <w:tcW w:w="614" w:type="dxa"/>
            <w:shd w:val="clear" w:color="000000" w:fill="C6FED1"/>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4,4</w:t>
            </w:r>
          </w:p>
        </w:tc>
        <w:tc>
          <w:tcPr>
            <w:tcW w:w="614" w:type="dxa"/>
            <w:shd w:val="clear" w:color="000000" w:fill="C6FED1"/>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5,8</w:t>
            </w:r>
          </w:p>
        </w:tc>
        <w:tc>
          <w:tcPr>
            <w:tcW w:w="780" w:type="dxa"/>
            <w:shd w:val="clear" w:color="000000" w:fill="C6FED1"/>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7,2</w:t>
            </w:r>
          </w:p>
        </w:tc>
        <w:tc>
          <w:tcPr>
            <w:tcW w:w="780" w:type="dxa"/>
            <w:shd w:val="clear" w:color="000000" w:fill="C6FED1"/>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8,6</w:t>
            </w:r>
          </w:p>
        </w:tc>
        <w:tc>
          <w:tcPr>
            <w:tcW w:w="850" w:type="dxa"/>
            <w:shd w:val="clear" w:color="000000" w:fill="C6FED1"/>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более 10 лет</w:t>
            </w:r>
          </w:p>
        </w:tc>
      </w:tr>
    </w:tbl>
    <w:p w:rsidR="0043196E" w:rsidRPr="00906887" w:rsidRDefault="00906887" w:rsidP="00906887">
      <w:pPr>
        <w:spacing w:before="120" w:after="120"/>
        <w:ind w:left="-567" w:hanging="709"/>
        <w:rPr>
          <w:rFonts w:ascii="Times New Roman" w:eastAsia="Times New Roman" w:hAnsi="Times New Roman" w:cs="Times New Roman"/>
          <w:b/>
          <w:sz w:val="24"/>
          <w:szCs w:val="24"/>
          <w:lang w:eastAsia="ru-RU"/>
        </w:rPr>
      </w:pPr>
      <w:r w:rsidRPr="00906887">
        <w:rPr>
          <w:rFonts w:ascii="Times New Roman" w:eastAsia="Times New Roman" w:hAnsi="Times New Roman" w:cs="Times New Roman"/>
          <w:b/>
          <w:sz w:val="24"/>
          <w:szCs w:val="24"/>
          <w:lang w:eastAsia="ru-RU"/>
        </w:rPr>
        <w:t xml:space="preserve">7.3. </w:t>
      </w:r>
      <w:r w:rsidR="00F141EB">
        <w:rPr>
          <w:rFonts w:ascii="Times New Roman" w:eastAsia="Times New Roman" w:hAnsi="Times New Roman" w:cs="Times New Roman"/>
          <w:b/>
          <w:sz w:val="24"/>
          <w:szCs w:val="24"/>
          <w:lang w:eastAsia="ru-RU"/>
        </w:rPr>
        <w:t xml:space="preserve">     </w:t>
      </w:r>
      <w:r w:rsidR="0043196E" w:rsidRPr="00906887">
        <w:rPr>
          <w:rFonts w:ascii="Times New Roman" w:eastAsia="Times New Roman" w:hAnsi="Times New Roman" w:cs="Times New Roman"/>
          <w:b/>
          <w:sz w:val="24"/>
          <w:szCs w:val="24"/>
          <w:lang w:eastAsia="ru-RU"/>
        </w:rPr>
        <w:t>Финансовые условия сделки</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sz w:val="24"/>
          <w:szCs w:val="24"/>
        </w:rPr>
        <w:t>В рамках реализации одной из основных целей финансово-экономической экспертизы по оценке и ограничению кредитного риска финансовые условия сделки, предлагаемые участниками закупочных процедур, являются наиболее весомыми. При отсутствии предоплаты кредитные риски минимальны. При прочих равных условиях выплата аванса без покрытия банковской гарантии соответствует наибольшему риску.</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sz w:val="24"/>
          <w:szCs w:val="24"/>
        </w:rPr>
        <w:t>Оценка по критерию «финансовые условия сделки» осуществляется с учетом соотношения величины планируемого аванса с активами и годовой выручкой оцениваемой компании. Чем меньше величина аванса в масштабах деятельности оцениваемой компании, тем меньшее влияние факт наличия предоплаты оказывает на итоговую оценку кредитного риска; оценка в таком случае приближается к единице - максимально возможной оценке по данному частному критерию.</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sz w:val="24"/>
          <w:szCs w:val="24"/>
        </w:rPr>
        <w:t>В тех случаях, когда отдельными локальными нормативными актами Общества устанавливаются ограничения на принимаемые банковские гарантии в части указания перечня банков, суммы и сроков гарантий, эксперт по направлению финансово-экономической экспертизы проводит оценку соответствия предлагаемой банковской гарантии требованиям указанного локального нормативного акта. А в случае отсутствия на этапе закупочной процедуры информации по банковской гарантии, дает рекомендации по соблюдению требований соответствующего локального нормативного акта.</w:t>
      </w:r>
    </w:p>
    <w:p w:rsidR="0043196E" w:rsidRPr="0043196E" w:rsidRDefault="0043196E" w:rsidP="0043196E">
      <w:pPr>
        <w:spacing w:before="120" w:after="120"/>
        <w:ind w:left="-567"/>
        <w:jc w:val="right"/>
        <w:rPr>
          <w:rFonts w:ascii="Times New Roman" w:hAnsi="Times New Roman" w:cs="Times New Roman"/>
          <w:sz w:val="24"/>
          <w:szCs w:val="24"/>
        </w:rPr>
      </w:pPr>
      <w:r w:rsidRPr="0043196E">
        <w:rPr>
          <w:rFonts w:ascii="Times New Roman" w:hAnsi="Times New Roman" w:cs="Times New Roman"/>
          <w:sz w:val="24"/>
          <w:szCs w:val="24"/>
        </w:rPr>
        <w:t>Таблица Оценка финансовых условий сделки</w:t>
      </w:r>
    </w:p>
    <w:tbl>
      <w:tblPr>
        <w:tblW w:w="9923" w:type="dxa"/>
        <w:tblInd w:w="-459" w:type="dxa"/>
        <w:tblLook w:val="04A0" w:firstRow="1" w:lastRow="0" w:firstColumn="1" w:lastColumn="0" w:noHBand="0" w:noVBand="1"/>
      </w:tblPr>
      <w:tblGrid>
        <w:gridCol w:w="2410"/>
        <w:gridCol w:w="851"/>
        <w:gridCol w:w="571"/>
        <w:gridCol w:w="571"/>
        <w:gridCol w:w="571"/>
        <w:gridCol w:w="571"/>
        <w:gridCol w:w="571"/>
        <w:gridCol w:w="688"/>
        <w:gridCol w:w="571"/>
        <w:gridCol w:w="705"/>
        <w:gridCol w:w="816"/>
        <w:gridCol w:w="1027"/>
      </w:tblGrid>
      <w:tr w:rsidR="0043196E" w:rsidRPr="0043196E" w:rsidTr="00906887">
        <w:trPr>
          <w:trHeight w:val="615"/>
        </w:trPr>
        <w:tc>
          <w:tcPr>
            <w:tcW w:w="2410" w:type="dxa"/>
            <w:tcBorders>
              <w:top w:val="single" w:sz="8" w:space="0" w:color="auto"/>
              <w:left w:val="single" w:sz="8" w:space="0" w:color="auto"/>
              <w:bottom w:val="single" w:sz="8" w:space="0" w:color="auto"/>
              <w:right w:val="single" w:sz="8" w:space="0" w:color="auto"/>
            </w:tcBorders>
            <w:shd w:val="clear" w:color="000000" w:fill="F2F2F2"/>
            <w:vAlign w:val="center"/>
            <w:hideMark/>
          </w:tcPr>
          <w:p w:rsidR="0043196E" w:rsidRPr="0043196E" w:rsidRDefault="0043196E" w:rsidP="00906887">
            <w:pPr>
              <w:ind w:left="-108"/>
              <w:rPr>
                <w:rFonts w:ascii="Times New Roman" w:hAnsi="Times New Roman" w:cs="Times New Roman"/>
                <w:color w:val="000000"/>
                <w:sz w:val="24"/>
                <w:szCs w:val="24"/>
              </w:rPr>
            </w:pPr>
            <w:r w:rsidRPr="0043196E">
              <w:rPr>
                <w:rFonts w:ascii="Times New Roman" w:hAnsi="Times New Roman" w:cs="Times New Roman"/>
                <w:color w:val="000000"/>
                <w:sz w:val="24"/>
                <w:szCs w:val="24"/>
              </w:rPr>
              <w:t>Оценка при отсутствии аванса</w:t>
            </w:r>
          </w:p>
        </w:tc>
        <w:tc>
          <w:tcPr>
            <w:tcW w:w="7513" w:type="dxa"/>
            <w:gridSpan w:val="11"/>
            <w:tcBorders>
              <w:top w:val="single" w:sz="8" w:space="0" w:color="auto"/>
              <w:left w:val="nil"/>
              <w:bottom w:val="single" w:sz="8" w:space="0" w:color="auto"/>
              <w:right w:val="single" w:sz="8" w:space="0" w:color="auto"/>
            </w:tcBorders>
            <w:shd w:val="clear" w:color="000000" w:fill="C6FED1"/>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w:t>
            </w:r>
          </w:p>
        </w:tc>
      </w:tr>
      <w:tr w:rsidR="0043196E" w:rsidRPr="0043196E" w:rsidTr="00906887">
        <w:trPr>
          <w:trHeight w:val="915"/>
        </w:trPr>
        <w:tc>
          <w:tcPr>
            <w:tcW w:w="2410" w:type="dxa"/>
            <w:tcBorders>
              <w:top w:val="nil"/>
              <w:left w:val="single" w:sz="8" w:space="0" w:color="auto"/>
              <w:bottom w:val="single" w:sz="8" w:space="0" w:color="auto"/>
              <w:right w:val="single" w:sz="8" w:space="0" w:color="auto"/>
            </w:tcBorders>
            <w:shd w:val="clear" w:color="000000" w:fill="F2F2F2"/>
            <w:vAlign w:val="center"/>
            <w:hideMark/>
          </w:tcPr>
          <w:p w:rsidR="0043196E" w:rsidRPr="0043196E" w:rsidRDefault="0043196E" w:rsidP="00906887">
            <w:pPr>
              <w:ind w:left="-108"/>
              <w:rPr>
                <w:rFonts w:ascii="Times New Roman" w:hAnsi="Times New Roman" w:cs="Times New Roman"/>
                <w:color w:val="000000"/>
                <w:sz w:val="24"/>
                <w:szCs w:val="24"/>
              </w:rPr>
            </w:pPr>
            <w:r w:rsidRPr="0043196E">
              <w:rPr>
                <w:rFonts w:ascii="Times New Roman" w:hAnsi="Times New Roman" w:cs="Times New Roman"/>
                <w:color w:val="000000"/>
                <w:sz w:val="24"/>
                <w:szCs w:val="24"/>
              </w:rPr>
              <w:t>Оценка при полном покрытии аванса банковской гарантией</w:t>
            </w:r>
          </w:p>
        </w:tc>
        <w:tc>
          <w:tcPr>
            <w:tcW w:w="851" w:type="dxa"/>
            <w:tcBorders>
              <w:top w:val="nil"/>
              <w:left w:val="nil"/>
              <w:bottom w:val="single" w:sz="8" w:space="0" w:color="auto"/>
              <w:right w:val="single" w:sz="8" w:space="0" w:color="auto"/>
            </w:tcBorders>
            <w:shd w:val="clear" w:color="000000" w:fill="F8FFB9"/>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0,4</w:t>
            </w:r>
          </w:p>
        </w:tc>
        <w:tc>
          <w:tcPr>
            <w:tcW w:w="571" w:type="dxa"/>
            <w:tcBorders>
              <w:top w:val="nil"/>
              <w:left w:val="nil"/>
              <w:bottom w:val="single" w:sz="8" w:space="0" w:color="auto"/>
              <w:right w:val="single" w:sz="8" w:space="0" w:color="auto"/>
            </w:tcBorders>
            <w:shd w:val="clear" w:color="000000" w:fill="F8FFB9"/>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0,46</w:t>
            </w:r>
          </w:p>
        </w:tc>
        <w:tc>
          <w:tcPr>
            <w:tcW w:w="571" w:type="dxa"/>
            <w:tcBorders>
              <w:top w:val="nil"/>
              <w:left w:val="nil"/>
              <w:bottom w:val="single" w:sz="8" w:space="0" w:color="auto"/>
              <w:right w:val="single" w:sz="8" w:space="0" w:color="auto"/>
            </w:tcBorders>
            <w:shd w:val="clear" w:color="000000" w:fill="F8FFB9"/>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0,52</w:t>
            </w:r>
          </w:p>
        </w:tc>
        <w:tc>
          <w:tcPr>
            <w:tcW w:w="571" w:type="dxa"/>
            <w:tcBorders>
              <w:top w:val="nil"/>
              <w:left w:val="nil"/>
              <w:bottom w:val="single" w:sz="8" w:space="0" w:color="auto"/>
              <w:right w:val="single" w:sz="8" w:space="0" w:color="auto"/>
            </w:tcBorders>
            <w:shd w:val="clear" w:color="000000" w:fill="F8FFB9"/>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0,58</w:t>
            </w:r>
          </w:p>
        </w:tc>
        <w:tc>
          <w:tcPr>
            <w:tcW w:w="571" w:type="dxa"/>
            <w:tcBorders>
              <w:top w:val="nil"/>
              <w:left w:val="nil"/>
              <w:bottom w:val="single" w:sz="8" w:space="0" w:color="auto"/>
              <w:right w:val="single" w:sz="8" w:space="0" w:color="auto"/>
            </w:tcBorders>
            <w:shd w:val="clear" w:color="000000" w:fill="C6FED1"/>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0,64</w:t>
            </w:r>
          </w:p>
        </w:tc>
        <w:tc>
          <w:tcPr>
            <w:tcW w:w="571" w:type="dxa"/>
            <w:tcBorders>
              <w:top w:val="nil"/>
              <w:left w:val="nil"/>
              <w:bottom w:val="single" w:sz="8" w:space="0" w:color="auto"/>
              <w:right w:val="single" w:sz="8" w:space="0" w:color="auto"/>
            </w:tcBorders>
            <w:shd w:val="clear" w:color="000000" w:fill="C6FED1"/>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0,7</w:t>
            </w:r>
          </w:p>
        </w:tc>
        <w:tc>
          <w:tcPr>
            <w:tcW w:w="688" w:type="dxa"/>
            <w:tcBorders>
              <w:top w:val="nil"/>
              <w:left w:val="nil"/>
              <w:bottom w:val="single" w:sz="8" w:space="0" w:color="auto"/>
              <w:right w:val="single" w:sz="8" w:space="0" w:color="auto"/>
            </w:tcBorders>
            <w:shd w:val="clear" w:color="000000" w:fill="C6FED1"/>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0,76</w:t>
            </w:r>
          </w:p>
        </w:tc>
        <w:tc>
          <w:tcPr>
            <w:tcW w:w="571" w:type="dxa"/>
            <w:tcBorders>
              <w:top w:val="nil"/>
              <w:left w:val="nil"/>
              <w:bottom w:val="single" w:sz="8" w:space="0" w:color="auto"/>
              <w:right w:val="single" w:sz="8" w:space="0" w:color="auto"/>
            </w:tcBorders>
            <w:shd w:val="clear" w:color="000000" w:fill="C6FED1"/>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0,82</w:t>
            </w:r>
          </w:p>
        </w:tc>
        <w:tc>
          <w:tcPr>
            <w:tcW w:w="705" w:type="dxa"/>
            <w:tcBorders>
              <w:top w:val="nil"/>
              <w:left w:val="nil"/>
              <w:bottom w:val="single" w:sz="8" w:space="0" w:color="auto"/>
              <w:right w:val="single" w:sz="8" w:space="0" w:color="auto"/>
            </w:tcBorders>
            <w:shd w:val="clear" w:color="000000" w:fill="C6FED1"/>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0,88</w:t>
            </w:r>
          </w:p>
        </w:tc>
        <w:tc>
          <w:tcPr>
            <w:tcW w:w="816" w:type="dxa"/>
            <w:tcBorders>
              <w:top w:val="nil"/>
              <w:left w:val="nil"/>
              <w:bottom w:val="single" w:sz="8" w:space="0" w:color="auto"/>
              <w:right w:val="single" w:sz="8" w:space="0" w:color="auto"/>
            </w:tcBorders>
            <w:shd w:val="clear" w:color="000000" w:fill="C6FED1"/>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0,94</w:t>
            </w:r>
          </w:p>
        </w:tc>
        <w:tc>
          <w:tcPr>
            <w:tcW w:w="1027" w:type="dxa"/>
            <w:tcBorders>
              <w:top w:val="nil"/>
              <w:left w:val="nil"/>
              <w:bottom w:val="single" w:sz="8" w:space="0" w:color="auto"/>
              <w:right w:val="single" w:sz="8" w:space="0" w:color="auto"/>
            </w:tcBorders>
            <w:shd w:val="clear" w:color="000000" w:fill="C6FED1"/>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w:t>
            </w:r>
          </w:p>
        </w:tc>
      </w:tr>
      <w:tr w:rsidR="0043196E" w:rsidRPr="0043196E" w:rsidTr="00906887">
        <w:trPr>
          <w:trHeight w:val="915"/>
        </w:trPr>
        <w:tc>
          <w:tcPr>
            <w:tcW w:w="2410" w:type="dxa"/>
            <w:tcBorders>
              <w:top w:val="nil"/>
              <w:left w:val="single" w:sz="8" w:space="0" w:color="auto"/>
              <w:bottom w:val="single" w:sz="8" w:space="0" w:color="auto"/>
              <w:right w:val="single" w:sz="8" w:space="0" w:color="auto"/>
            </w:tcBorders>
            <w:shd w:val="clear" w:color="000000" w:fill="F2F2F2"/>
            <w:vAlign w:val="center"/>
            <w:hideMark/>
          </w:tcPr>
          <w:p w:rsidR="0043196E" w:rsidRPr="0043196E" w:rsidRDefault="0043196E" w:rsidP="00906887">
            <w:pPr>
              <w:ind w:left="-108"/>
              <w:rPr>
                <w:rFonts w:ascii="Times New Roman" w:hAnsi="Times New Roman" w:cs="Times New Roman"/>
                <w:color w:val="000000"/>
                <w:sz w:val="24"/>
                <w:szCs w:val="24"/>
              </w:rPr>
            </w:pPr>
            <w:r w:rsidRPr="0043196E">
              <w:rPr>
                <w:rFonts w:ascii="Times New Roman" w:hAnsi="Times New Roman" w:cs="Times New Roman"/>
                <w:color w:val="000000"/>
                <w:sz w:val="24"/>
                <w:szCs w:val="24"/>
              </w:rPr>
              <w:t>Оценка при выплате аванса без покрытия банковской гарантией</w:t>
            </w:r>
          </w:p>
        </w:tc>
        <w:tc>
          <w:tcPr>
            <w:tcW w:w="851" w:type="dxa"/>
            <w:tcBorders>
              <w:top w:val="nil"/>
              <w:left w:val="nil"/>
              <w:bottom w:val="single" w:sz="8" w:space="0" w:color="auto"/>
              <w:right w:val="single" w:sz="8" w:space="0" w:color="auto"/>
            </w:tcBorders>
            <w:shd w:val="clear" w:color="000000" w:fill="FFE5E5"/>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w:t>
            </w:r>
          </w:p>
        </w:tc>
        <w:tc>
          <w:tcPr>
            <w:tcW w:w="571" w:type="dxa"/>
            <w:tcBorders>
              <w:top w:val="nil"/>
              <w:left w:val="nil"/>
              <w:bottom w:val="single" w:sz="8" w:space="0" w:color="auto"/>
              <w:right w:val="single" w:sz="8" w:space="0" w:color="auto"/>
            </w:tcBorders>
            <w:shd w:val="clear" w:color="000000" w:fill="FFE5E5"/>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0,07</w:t>
            </w:r>
          </w:p>
        </w:tc>
        <w:tc>
          <w:tcPr>
            <w:tcW w:w="571" w:type="dxa"/>
            <w:tcBorders>
              <w:top w:val="nil"/>
              <w:left w:val="nil"/>
              <w:bottom w:val="single" w:sz="8" w:space="0" w:color="auto"/>
              <w:right w:val="single" w:sz="8" w:space="0" w:color="auto"/>
            </w:tcBorders>
            <w:shd w:val="clear" w:color="000000" w:fill="FFE5E5"/>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0,14</w:t>
            </w:r>
          </w:p>
        </w:tc>
        <w:tc>
          <w:tcPr>
            <w:tcW w:w="571" w:type="dxa"/>
            <w:tcBorders>
              <w:top w:val="nil"/>
              <w:left w:val="nil"/>
              <w:bottom w:val="single" w:sz="8" w:space="0" w:color="auto"/>
              <w:right w:val="single" w:sz="8" w:space="0" w:color="auto"/>
            </w:tcBorders>
            <w:shd w:val="clear" w:color="000000" w:fill="FFE5E5"/>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0,21</w:t>
            </w:r>
          </w:p>
        </w:tc>
        <w:tc>
          <w:tcPr>
            <w:tcW w:w="571" w:type="dxa"/>
            <w:tcBorders>
              <w:top w:val="nil"/>
              <w:left w:val="nil"/>
              <w:bottom w:val="single" w:sz="8" w:space="0" w:color="auto"/>
              <w:right w:val="single" w:sz="8" w:space="0" w:color="auto"/>
            </w:tcBorders>
            <w:shd w:val="clear" w:color="000000" w:fill="FFE5E5"/>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0,28</w:t>
            </w:r>
          </w:p>
        </w:tc>
        <w:tc>
          <w:tcPr>
            <w:tcW w:w="571" w:type="dxa"/>
            <w:tcBorders>
              <w:top w:val="nil"/>
              <w:left w:val="nil"/>
              <w:bottom w:val="single" w:sz="8" w:space="0" w:color="auto"/>
              <w:right w:val="single" w:sz="8" w:space="0" w:color="auto"/>
            </w:tcBorders>
            <w:shd w:val="clear" w:color="000000" w:fill="FFE5E5"/>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0,35</w:t>
            </w:r>
          </w:p>
        </w:tc>
        <w:tc>
          <w:tcPr>
            <w:tcW w:w="688" w:type="dxa"/>
            <w:tcBorders>
              <w:top w:val="nil"/>
              <w:left w:val="nil"/>
              <w:bottom w:val="single" w:sz="8" w:space="0" w:color="auto"/>
              <w:right w:val="single" w:sz="8" w:space="0" w:color="auto"/>
            </w:tcBorders>
            <w:shd w:val="clear" w:color="000000" w:fill="F8FFB9"/>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0,42</w:t>
            </w:r>
          </w:p>
        </w:tc>
        <w:tc>
          <w:tcPr>
            <w:tcW w:w="571" w:type="dxa"/>
            <w:tcBorders>
              <w:top w:val="nil"/>
              <w:left w:val="nil"/>
              <w:bottom w:val="single" w:sz="8" w:space="0" w:color="auto"/>
              <w:right w:val="single" w:sz="8" w:space="0" w:color="auto"/>
            </w:tcBorders>
            <w:shd w:val="clear" w:color="000000" w:fill="F8FFB9"/>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0,49</w:t>
            </w:r>
          </w:p>
        </w:tc>
        <w:tc>
          <w:tcPr>
            <w:tcW w:w="705" w:type="dxa"/>
            <w:tcBorders>
              <w:top w:val="nil"/>
              <w:left w:val="nil"/>
              <w:bottom w:val="single" w:sz="8" w:space="0" w:color="auto"/>
              <w:right w:val="single" w:sz="8" w:space="0" w:color="auto"/>
            </w:tcBorders>
            <w:shd w:val="clear" w:color="000000" w:fill="F8FFB9"/>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0,56</w:t>
            </w:r>
          </w:p>
        </w:tc>
        <w:tc>
          <w:tcPr>
            <w:tcW w:w="816" w:type="dxa"/>
            <w:tcBorders>
              <w:top w:val="nil"/>
              <w:left w:val="nil"/>
              <w:bottom w:val="single" w:sz="8" w:space="0" w:color="auto"/>
              <w:right w:val="single" w:sz="8" w:space="0" w:color="auto"/>
            </w:tcBorders>
            <w:shd w:val="clear" w:color="000000" w:fill="C6FED1"/>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0,63</w:t>
            </w:r>
          </w:p>
        </w:tc>
        <w:tc>
          <w:tcPr>
            <w:tcW w:w="1027" w:type="dxa"/>
            <w:tcBorders>
              <w:top w:val="nil"/>
              <w:left w:val="nil"/>
              <w:bottom w:val="single" w:sz="8" w:space="0" w:color="auto"/>
              <w:right w:val="single" w:sz="8" w:space="0" w:color="auto"/>
            </w:tcBorders>
            <w:shd w:val="clear" w:color="000000" w:fill="C6FED1"/>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0,7</w:t>
            </w:r>
          </w:p>
        </w:tc>
      </w:tr>
      <w:tr w:rsidR="0043196E" w:rsidRPr="0043196E" w:rsidTr="00A444A4">
        <w:trPr>
          <w:trHeight w:val="525"/>
        </w:trPr>
        <w:tc>
          <w:tcPr>
            <w:tcW w:w="2410" w:type="dxa"/>
            <w:tcBorders>
              <w:top w:val="nil"/>
              <w:left w:val="single" w:sz="8" w:space="0" w:color="auto"/>
              <w:bottom w:val="single" w:sz="8" w:space="0" w:color="auto"/>
              <w:right w:val="single" w:sz="8" w:space="0" w:color="auto"/>
            </w:tcBorders>
            <w:shd w:val="clear" w:color="auto" w:fill="auto"/>
            <w:vAlign w:val="center"/>
            <w:hideMark/>
          </w:tcPr>
          <w:p w:rsidR="0043196E" w:rsidRPr="0043196E" w:rsidRDefault="0043196E" w:rsidP="00906887">
            <w:pPr>
              <w:ind w:left="-108"/>
              <w:rPr>
                <w:rFonts w:ascii="Times New Roman" w:hAnsi="Times New Roman" w:cs="Times New Roman"/>
                <w:color w:val="000000"/>
                <w:sz w:val="24"/>
                <w:szCs w:val="24"/>
              </w:rPr>
            </w:pPr>
            <w:r w:rsidRPr="0043196E">
              <w:rPr>
                <w:rFonts w:ascii="Times New Roman" w:hAnsi="Times New Roman" w:cs="Times New Roman"/>
                <w:color w:val="000000"/>
                <w:sz w:val="24"/>
                <w:szCs w:val="24"/>
              </w:rPr>
              <w:t>Величина аванса / Годовая выручка</w:t>
            </w:r>
          </w:p>
        </w:tc>
        <w:tc>
          <w:tcPr>
            <w:tcW w:w="851" w:type="dxa"/>
            <w:tcBorders>
              <w:top w:val="nil"/>
              <w:left w:val="nil"/>
              <w:bottom w:val="single" w:sz="8" w:space="0" w:color="auto"/>
              <w:right w:val="single" w:sz="8" w:space="0" w:color="auto"/>
            </w:tcBorders>
            <w:shd w:val="clear" w:color="auto" w:fill="auto"/>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0,7 и более</w:t>
            </w:r>
          </w:p>
        </w:tc>
        <w:tc>
          <w:tcPr>
            <w:tcW w:w="571" w:type="dxa"/>
            <w:tcBorders>
              <w:top w:val="nil"/>
              <w:left w:val="nil"/>
              <w:bottom w:val="single" w:sz="8"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0,6</w:t>
            </w:r>
          </w:p>
        </w:tc>
        <w:tc>
          <w:tcPr>
            <w:tcW w:w="571" w:type="dxa"/>
            <w:tcBorders>
              <w:top w:val="nil"/>
              <w:left w:val="nil"/>
              <w:bottom w:val="single" w:sz="8"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0,5</w:t>
            </w:r>
          </w:p>
        </w:tc>
        <w:tc>
          <w:tcPr>
            <w:tcW w:w="571" w:type="dxa"/>
            <w:tcBorders>
              <w:top w:val="nil"/>
              <w:left w:val="nil"/>
              <w:bottom w:val="single" w:sz="8"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0,4</w:t>
            </w:r>
          </w:p>
        </w:tc>
        <w:tc>
          <w:tcPr>
            <w:tcW w:w="571" w:type="dxa"/>
            <w:tcBorders>
              <w:top w:val="nil"/>
              <w:left w:val="nil"/>
              <w:bottom w:val="single" w:sz="8"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0,3</w:t>
            </w:r>
          </w:p>
        </w:tc>
        <w:tc>
          <w:tcPr>
            <w:tcW w:w="571" w:type="dxa"/>
            <w:tcBorders>
              <w:top w:val="nil"/>
              <w:left w:val="nil"/>
              <w:bottom w:val="single" w:sz="8"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0,23</w:t>
            </w:r>
          </w:p>
        </w:tc>
        <w:tc>
          <w:tcPr>
            <w:tcW w:w="688" w:type="dxa"/>
            <w:tcBorders>
              <w:top w:val="nil"/>
              <w:left w:val="nil"/>
              <w:bottom w:val="single" w:sz="8"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0,16</w:t>
            </w:r>
          </w:p>
        </w:tc>
        <w:tc>
          <w:tcPr>
            <w:tcW w:w="571" w:type="dxa"/>
            <w:tcBorders>
              <w:top w:val="nil"/>
              <w:left w:val="nil"/>
              <w:bottom w:val="single" w:sz="8"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0,1</w:t>
            </w:r>
          </w:p>
        </w:tc>
        <w:tc>
          <w:tcPr>
            <w:tcW w:w="705" w:type="dxa"/>
            <w:tcBorders>
              <w:top w:val="nil"/>
              <w:left w:val="nil"/>
              <w:bottom w:val="single" w:sz="8"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0,07</w:t>
            </w:r>
          </w:p>
        </w:tc>
        <w:tc>
          <w:tcPr>
            <w:tcW w:w="816" w:type="dxa"/>
            <w:tcBorders>
              <w:top w:val="nil"/>
              <w:left w:val="nil"/>
              <w:bottom w:val="single" w:sz="8"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0,05</w:t>
            </w:r>
          </w:p>
        </w:tc>
        <w:tc>
          <w:tcPr>
            <w:tcW w:w="1027" w:type="dxa"/>
            <w:tcBorders>
              <w:top w:val="nil"/>
              <w:left w:val="nil"/>
              <w:bottom w:val="single" w:sz="8" w:space="0" w:color="auto"/>
              <w:right w:val="single" w:sz="8" w:space="0" w:color="auto"/>
            </w:tcBorders>
            <w:shd w:val="clear" w:color="auto" w:fill="auto"/>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0.025 и менее</w:t>
            </w:r>
          </w:p>
        </w:tc>
      </w:tr>
      <w:tr w:rsidR="0043196E" w:rsidRPr="0043196E" w:rsidTr="00A444A4">
        <w:trPr>
          <w:trHeight w:val="525"/>
        </w:trPr>
        <w:tc>
          <w:tcPr>
            <w:tcW w:w="241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43196E" w:rsidRPr="0043196E" w:rsidRDefault="0043196E" w:rsidP="00906887">
            <w:pPr>
              <w:ind w:left="-108"/>
              <w:rPr>
                <w:rFonts w:ascii="Times New Roman" w:hAnsi="Times New Roman" w:cs="Times New Roman"/>
                <w:color w:val="000000"/>
                <w:sz w:val="24"/>
                <w:szCs w:val="24"/>
              </w:rPr>
            </w:pPr>
            <w:r w:rsidRPr="0043196E">
              <w:rPr>
                <w:rFonts w:ascii="Times New Roman" w:hAnsi="Times New Roman" w:cs="Times New Roman"/>
                <w:color w:val="000000"/>
                <w:sz w:val="24"/>
                <w:szCs w:val="24"/>
              </w:rPr>
              <w:lastRenderedPageBreak/>
              <w:t>Величина аванса / Активы</w:t>
            </w:r>
          </w:p>
        </w:tc>
        <w:tc>
          <w:tcPr>
            <w:tcW w:w="851" w:type="dxa"/>
            <w:tcBorders>
              <w:top w:val="single" w:sz="8" w:space="0" w:color="auto"/>
              <w:left w:val="nil"/>
              <w:bottom w:val="single" w:sz="4" w:space="0" w:color="auto"/>
              <w:right w:val="single" w:sz="8" w:space="0" w:color="auto"/>
            </w:tcBorders>
            <w:shd w:val="clear" w:color="auto" w:fill="auto"/>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1.4 и более</w:t>
            </w:r>
          </w:p>
        </w:tc>
        <w:tc>
          <w:tcPr>
            <w:tcW w:w="571" w:type="dxa"/>
            <w:tcBorders>
              <w:top w:val="single" w:sz="8" w:space="0" w:color="auto"/>
              <w:left w:val="nil"/>
              <w:bottom w:val="single" w:sz="4"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1,2</w:t>
            </w:r>
          </w:p>
        </w:tc>
        <w:tc>
          <w:tcPr>
            <w:tcW w:w="571" w:type="dxa"/>
            <w:tcBorders>
              <w:top w:val="single" w:sz="8" w:space="0" w:color="auto"/>
              <w:left w:val="nil"/>
              <w:bottom w:val="single" w:sz="4"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1</w:t>
            </w:r>
          </w:p>
        </w:tc>
        <w:tc>
          <w:tcPr>
            <w:tcW w:w="571" w:type="dxa"/>
            <w:tcBorders>
              <w:top w:val="single" w:sz="8" w:space="0" w:color="auto"/>
              <w:left w:val="nil"/>
              <w:bottom w:val="single" w:sz="4"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0,8</w:t>
            </w:r>
          </w:p>
        </w:tc>
        <w:tc>
          <w:tcPr>
            <w:tcW w:w="571" w:type="dxa"/>
            <w:tcBorders>
              <w:top w:val="single" w:sz="8" w:space="0" w:color="auto"/>
              <w:left w:val="nil"/>
              <w:bottom w:val="single" w:sz="4"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0,6</w:t>
            </w:r>
          </w:p>
        </w:tc>
        <w:tc>
          <w:tcPr>
            <w:tcW w:w="571" w:type="dxa"/>
            <w:tcBorders>
              <w:top w:val="single" w:sz="8" w:space="0" w:color="auto"/>
              <w:left w:val="nil"/>
              <w:bottom w:val="single" w:sz="4"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0,46</w:t>
            </w:r>
          </w:p>
        </w:tc>
        <w:tc>
          <w:tcPr>
            <w:tcW w:w="688" w:type="dxa"/>
            <w:tcBorders>
              <w:top w:val="single" w:sz="8" w:space="0" w:color="auto"/>
              <w:left w:val="nil"/>
              <w:bottom w:val="single" w:sz="4"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lang w:val="en-US"/>
              </w:rPr>
              <w:t>0,33</w:t>
            </w:r>
          </w:p>
        </w:tc>
        <w:tc>
          <w:tcPr>
            <w:tcW w:w="571" w:type="dxa"/>
            <w:tcBorders>
              <w:top w:val="single" w:sz="8" w:space="0" w:color="auto"/>
              <w:left w:val="nil"/>
              <w:bottom w:val="single" w:sz="4"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0,2</w:t>
            </w:r>
          </w:p>
        </w:tc>
        <w:tc>
          <w:tcPr>
            <w:tcW w:w="705" w:type="dxa"/>
            <w:tcBorders>
              <w:top w:val="single" w:sz="8" w:space="0" w:color="auto"/>
              <w:left w:val="nil"/>
              <w:bottom w:val="single" w:sz="4"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0,15</w:t>
            </w:r>
          </w:p>
        </w:tc>
        <w:tc>
          <w:tcPr>
            <w:tcW w:w="816" w:type="dxa"/>
            <w:tcBorders>
              <w:top w:val="single" w:sz="8" w:space="0" w:color="auto"/>
              <w:left w:val="nil"/>
              <w:bottom w:val="single" w:sz="4" w:space="0" w:color="auto"/>
              <w:right w:val="single" w:sz="8" w:space="0" w:color="auto"/>
            </w:tcBorders>
            <w:shd w:val="clear" w:color="auto" w:fill="auto"/>
            <w:noWrap/>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0,1</w:t>
            </w:r>
          </w:p>
        </w:tc>
        <w:tc>
          <w:tcPr>
            <w:tcW w:w="1027" w:type="dxa"/>
            <w:tcBorders>
              <w:top w:val="single" w:sz="8" w:space="0" w:color="auto"/>
              <w:left w:val="nil"/>
              <w:bottom w:val="single" w:sz="4" w:space="0" w:color="auto"/>
              <w:right w:val="single" w:sz="8" w:space="0" w:color="auto"/>
            </w:tcBorders>
            <w:shd w:val="clear" w:color="auto" w:fill="auto"/>
            <w:vAlign w:val="center"/>
            <w:hideMark/>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0.05 и менее</w:t>
            </w:r>
          </w:p>
        </w:tc>
      </w:tr>
    </w:tbl>
    <w:p w:rsidR="0043196E" w:rsidRPr="0043196E" w:rsidRDefault="0043196E" w:rsidP="0043196E">
      <w:pPr>
        <w:spacing w:before="120" w:after="120"/>
        <w:ind w:left="-567"/>
        <w:rPr>
          <w:rFonts w:ascii="Times New Roman" w:hAnsi="Times New Roman" w:cs="Times New Roman"/>
          <w:b/>
          <w:sz w:val="24"/>
          <w:szCs w:val="24"/>
        </w:rPr>
      </w:pPr>
      <w:bookmarkStart w:id="57" w:name="_Toc516132526"/>
    </w:p>
    <w:p w:rsidR="0043196E" w:rsidRPr="0043196E" w:rsidRDefault="0043196E" w:rsidP="0043196E">
      <w:pPr>
        <w:spacing w:before="120" w:after="120"/>
        <w:ind w:left="-567"/>
        <w:rPr>
          <w:rFonts w:ascii="Times New Roman" w:hAnsi="Times New Roman" w:cs="Times New Roman"/>
          <w:b/>
          <w:sz w:val="24"/>
          <w:szCs w:val="24"/>
        </w:rPr>
      </w:pPr>
    </w:p>
    <w:p w:rsidR="0043196E" w:rsidRPr="0043196E" w:rsidRDefault="00906887" w:rsidP="00906887">
      <w:pPr>
        <w:pStyle w:val="2"/>
      </w:pPr>
      <w:bookmarkStart w:id="58" w:name="_Toc519591608"/>
      <w:r>
        <w:t xml:space="preserve">8. </w:t>
      </w:r>
      <w:r w:rsidR="0043196E" w:rsidRPr="0043196E">
        <w:t>Оценка в рамках закупочных процедур, участниками которых могут быть только субъекты малого и среднего предпринимательства</w:t>
      </w:r>
      <w:bookmarkEnd w:id="57"/>
      <w:r w:rsidR="0043196E" w:rsidRPr="0043196E">
        <w:t xml:space="preserve"> </w:t>
      </w:r>
      <w:bookmarkEnd w:id="58"/>
    </w:p>
    <w:p w:rsidR="0043196E" w:rsidRPr="00072562" w:rsidRDefault="00072562" w:rsidP="00072562">
      <w:pPr>
        <w:spacing w:before="120" w:after="120"/>
        <w:ind w:left="-567" w:hanging="709"/>
        <w:jc w:val="both"/>
        <w:rPr>
          <w:rFonts w:ascii="Times New Roman" w:hAnsi="Times New Roman" w:cs="Times New Roman"/>
          <w:sz w:val="24"/>
          <w:szCs w:val="24"/>
        </w:rPr>
      </w:pPr>
      <w:r w:rsidRPr="00072562">
        <w:rPr>
          <w:rFonts w:ascii="Times New Roman" w:hAnsi="Times New Roman" w:cs="Times New Roman"/>
          <w:sz w:val="24"/>
          <w:szCs w:val="24"/>
        </w:rPr>
        <w:t xml:space="preserve">8.1. </w:t>
      </w:r>
      <w:r>
        <w:rPr>
          <w:rFonts w:ascii="Times New Roman" w:hAnsi="Times New Roman" w:cs="Times New Roman"/>
          <w:sz w:val="24"/>
          <w:szCs w:val="24"/>
        </w:rPr>
        <w:t xml:space="preserve"> </w:t>
      </w:r>
      <w:r w:rsidR="0043196E" w:rsidRPr="00072562">
        <w:rPr>
          <w:rFonts w:ascii="Times New Roman" w:hAnsi="Times New Roman" w:cs="Times New Roman"/>
          <w:sz w:val="24"/>
          <w:szCs w:val="24"/>
        </w:rPr>
        <w:t xml:space="preserve">По закупкам, участниками которых могут быть только субъекты малого и среднего предпринимательства, оценка производится на основании разделов 6-7 настоящей Методики. В связи с отсутствием информации о стоимости предложения каждого участника и данных по размерам авансовых платежей в рублях, на стадии проведения финансово-экономической экспертизы оценка в рамках п.7.1. настоящей Методики производится посредством соотношения начальной (максимальной) цены закупочной процедуры к данным финансовой отчетности участников. </w:t>
      </w:r>
    </w:p>
    <w:p w:rsidR="0043196E" w:rsidRPr="0043196E" w:rsidRDefault="0043196E" w:rsidP="0043196E">
      <w:pPr>
        <w:spacing w:before="120" w:after="120"/>
        <w:ind w:left="-567"/>
        <w:jc w:val="both"/>
        <w:rPr>
          <w:rFonts w:ascii="Times New Roman" w:hAnsi="Times New Roman" w:cs="Times New Roman"/>
          <w:sz w:val="24"/>
          <w:szCs w:val="24"/>
        </w:rPr>
      </w:pPr>
      <w:r w:rsidRPr="0043196E">
        <w:rPr>
          <w:rFonts w:ascii="Times New Roman" w:hAnsi="Times New Roman" w:cs="Times New Roman"/>
          <w:sz w:val="24"/>
          <w:szCs w:val="24"/>
        </w:rPr>
        <w:t>В рамках п.7.3. настоящей Методики размер авансового платежа, указываемый участниками закупки в Графике оплаты в процентном выражении к цене закупки, будет применяться к начальной (максимальной) цене и оценочно сопоставляться к данным финансовой отчетности участников.</w:t>
      </w:r>
    </w:p>
    <w:p w:rsidR="0043196E" w:rsidRPr="0043196E" w:rsidRDefault="00072562" w:rsidP="00072562">
      <w:pPr>
        <w:pStyle w:val="2"/>
      </w:pPr>
      <w:bookmarkStart w:id="59" w:name="_Toc322961182"/>
      <w:bookmarkStart w:id="60" w:name="_Toc326066017"/>
      <w:bookmarkStart w:id="61" w:name="_Toc326066287"/>
      <w:bookmarkStart w:id="62" w:name="_Toc326067318"/>
      <w:bookmarkStart w:id="63" w:name="_Toc516132527"/>
      <w:bookmarkStart w:id="64" w:name="_Toc519591609"/>
      <w:r>
        <w:t xml:space="preserve">9. </w:t>
      </w:r>
      <w:r w:rsidR="0043196E" w:rsidRPr="0043196E">
        <w:t xml:space="preserve">Весовые коэффициенты и формирование </w:t>
      </w:r>
      <w:bookmarkEnd w:id="59"/>
      <w:bookmarkEnd w:id="60"/>
      <w:bookmarkEnd w:id="61"/>
      <w:bookmarkEnd w:id="62"/>
      <w:r w:rsidR="0043196E" w:rsidRPr="0043196E">
        <w:t>первичной оценки</w:t>
      </w:r>
      <w:bookmarkEnd w:id="63"/>
      <w:bookmarkEnd w:id="64"/>
    </w:p>
    <w:p w:rsidR="0043196E" w:rsidRPr="00072562" w:rsidRDefault="00072562" w:rsidP="00072562">
      <w:pPr>
        <w:spacing w:before="120" w:after="120"/>
        <w:ind w:left="-567" w:hanging="709"/>
        <w:jc w:val="both"/>
        <w:rPr>
          <w:rFonts w:ascii="Times New Roman" w:hAnsi="Times New Roman" w:cs="Times New Roman"/>
          <w:sz w:val="24"/>
          <w:szCs w:val="24"/>
        </w:rPr>
      </w:pPr>
      <w:r w:rsidRPr="00072562">
        <w:rPr>
          <w:rFonts w:ascii="Times New Roman" w:hAnsi="Times New Roman" w:cs="Times New Roman"/>
          <w:sz w:val="24"/>
          <w:szCs w:val="24"/>
        </w:rPr>
        <w:t>9.1.</w:t>
      </w:r>
      <w:r>
        <w:rPr>
          <w:rFonts w:ascii="Times New Roman" w:hAnsi="Times New Roman" w:cs="Times New Roman"/>
          <w:sz w:val="24"/>
          <w:szCs w:val="24"/>
        </w:rPr>
        <w:t xml:space="preserve">   </w:t>
      </w:r>
      <w:r w:rsidR="0043196E" w:rsidRPr="00072562">
        <w:rPr>
          <w:rFonts w:ascii="Times New Roman" w:hAnsi="Times New Roman" w:cs="Times New Roman"/>
          <w:sz w:val="24"/>
          <w:szCs w:val="24"/>
        </w:rPr>
        <w:t>Для расчета финансовых показателей используются данные бухгалтерской отчетности участников закупочной процедуры по состоянию на три отчетные даты: предпоследний и последний завершенные финансовые годы, а также последняя отчетная дата незавершенного финансового года*. 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w:t>
      </w:r>
    </w:p>
    <w:p w:rsidR="0043196E" w:rsidRPr="0043196E" w:rsidRDefault="0043196E" w:rsidP="0043196E">
      <w:pPr>
        <w:spacing w:before="120" w:after="120"/>
        <w:ind w:left="-567"/>
        <w:jc w:val="right"/>
        <w:rPr>
          <w:rFonts w:ascii="Times New Roman" w:hAnsi="Times New Roman" w:cs="Times New Roman"/>
          <w:sz w:val="24"/>
          <w:szCs w:val="24"/>
        </w:rPr>
      </w:pPr>
      <w:r w:rsidRPr="0043196E">
        <w:rPr>
          <w:rFonts w:ascii="Times New Roman" w:hAnsi="Times New Roman" w:cs="Times New Roman"/>
          <w:sz w:val="24"/>
          <w:szCs w:val="24"/>
        </w:rPr>
        <w:t>Таблица Весовые коэффициенты отчетных дат</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17"/>
        <w:gridCol w:w="2882"/>
        <w:gridCol w:w="2883"/>
      </w:tblGrid>
      <w:tr w:rsidR="0043196E" w:rsidRPr="0043196E" w:rsidTr="00906887">
        <w:trPr>
          <w:trHeight w:val="300"/>
        </w:trPr>
        <w:tc>
          <w:tcPr>
            <w:tcW w:w="4017" w:type="dxa"/>
            <w:shd w:val="clear" w:color="000000" w:fill="F2F2F2"/>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Предпоследний завершенный финансовый год</w:t>
            </w:r>
          </w:p>
        </w:tc>
        <w:tc>
          <w:tcPr>
            <w:tcW w:w="2882" w:type="dxa"/>
            <w:shd w:val="clear" w:color="000000" w:fill="F2F2F2"/>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Последний завершенный финансовый год</w:t>
            </w:r>
          </w:p>
        </w:tc>
        <w:tc>
          <w:tcPr>
            <w:tcW w:w="2883" w:type="dxa"/>
            <w:shd w:val="clear" w:color="000000" w:fill="F2F2F2"/>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Последняя отчетная дата незавершенного финансового года*</w:t>
            </w:r>
          </w:p>
        </w:tc>
      </w:tr>
      <w:tr w:rsidR="0043196E" w:rsidRPr="0043196E" w:rsidTr="00906887">
        <w:trPr>
          <w:trHeight w:val="300"/>
        </w:trPr>
        <w:tc>
          <w:tcPr>
            <w:tcW w:w="4017" w:type="dxa"/>
            <w:shd w:val="clear" w:color="auto" w:fill="auto"/>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25%</w:t>
            </w:r>
          </w:p>
        </w:tc>
        <w:tc>
          <w:tcPr>
            <w:tcW w:w="2882" w:type="dxa"/>
            <w:shd w:val="clear" w:color="auto" w:fill="auto"/>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50%</w:t>
            </w:r>
          </w:p>
        </w:tc>
        <w:tc>
          <w:tcPr>
            <w:tcW w:w="2883" w:type="dxa"/>
            <w:shd w:val="clear" w:color="auto" w:fill="auto"/>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25%</w:t>
            </w:r>
          </w:p>
        </w:tc>
      </w:tr>
      <w:tr w:rsidR="0043196E" w:rsidRPr="0043196E" w:rsidTr="00906887">
        <w:trPr>
          <w:trHeight w:val="300"/>
        </w:trPr>
        <w:tc>
          <w:tcPr>
            <w:tcW w:w="4017" w:type="dxa"/>
            <w:shd w:val="clear" w:color="auto" w:fill="auto"/>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33,3%</w:t>
            </w:r>
          </w:p>
        </w:tc>
        <w:tc>
          <w:tcPr>
            <w:tcW w:w="2882" w:type="dxa"/>
            <w:shd w:val="clear" w:color="auto" w:fill="auto"/>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66,7%</w:t>
            </w:r>
          </w:p>
        </w:tc>
        <w:tc>
          <w:tcPr>
            <w:tcW w:w="2883" w:type="dxa"/>
            <w:shd w:val="clear" w:color="000000" w:fill="FFE5E5"/>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отсутствует</w:t>
            </w:r>
          </w:p>
        </w:tc>
      </w:tr>
      <w:tr w:rsidR="0043196E" w:rsidRPr="0043196E" w:rsidTr="00906887">
        <w:trPr>
          <w:trHeight w:val="300"/>
        </w:trPr>
        <w:tc>
          <w:tcPr>
            <w:tcW w:w="4017" w:type="dxa"/>
            <w:shd w:val="clear" w:color="000000" w:fill="FFE5E5"/>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отсутствует</w:t>
            </w:r>
          </w:p>
        </w:tc>
        <w:tc>
          <w:tcPr>
            <w:tcW w:w="2882" w:type="dxa"/>
            <w:shd w:val="clear" w:color="auto" w:fill="auto"/>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66,7%</w:t>
            </w:r>
          </w:p>
        </w:tc>
        <w:tc>
          <w:tcPr>
            <w:tcW w:w="2883" w:type="dxa"/>
            <w:shd w:val="clear" w:color="auto" w:fill="auto"/>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33,3%</w:t>
            </w:r>
          </w:p>
        </w:tc>
      </w:tr>
      <w:tr w:rsidR="0043196E" w:rsidRPr="0043196E" w:rsidTr="00906887">
        <w:trPr>
          <w:trHeight w:val="300"/>
        </w:trPr>
        <w:tc>
          <w:tcPr>
            <w:tcW w:w="4017" w:type="dxa"/>
            <w:shd w:val="clear" w:color="000000" w:fill="FFE5E5"/>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отсутствует</w:t>
            </w:r>
          </w:p>
        </w:tc>
        <w:tc>
          <w:tcPr>
            <w:tcW w:w="2882" w:type="dxa"/>
            <w:shd w:val="clear" w:color="000000" w:fill="FFE5E5"/>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отсутствует</w:t>
            </w:r>
          </w:p>
        </w:tc>
        <w:tc>
          <w:tcPr>
            <w:tcW w:w="2883" w:type="dxa"/>
            <w:shd w:val="clear" w:color="auto" w:fill="auto"/>
            <w:noWrap/>
            <w:vAlign w:val="center"/>
          </w:tcPr>
          <w:p w:rsidR="0043196E" w:rsidRPr="0043196E" w:rsidRDefault="0043196E" w:rsidP="00906887">
            <w:pPr>
              <w:ind w:left="-108"/>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100%</w:t>
            </w:r>
          </w:p>
        </w:tc>
      </w:tr>
    </w:tbl>
    <w:p w:rsidR="0043196E" w:rsidRPr="0043196E" w:rsidRDefault="0043196E" w:rsidP="0043196E">
      <w:pPr>
        <w:spacing w:before="120" w:after="120"/>
        <w:ind w:left="-567"/>
        <w:jc w:val="both"/>
        <w:rPr>
          <w:rFonts w:ascii="Times New Roman" w:hAnsi="Times New Roman" w:cs="Times New Roman"/>
          <w:i/>
          <w:sz w:val="24"/>
          <w:szCs w:val="24"/>
        </w:rPr>
      </w:pPr>
      <w:r w:rsidRPr="0043196E">
        <w:rPr>
          <w:rFonts w:ascii="Times New Roman" w:hAnsi="Times New Roman" w:cs="Times New Roman"/>
          <w:i/>
          <w:sz w:val="24"/>
          <w:szCs w:val="24"/>
        </w:rPr>
        <w:t xml:space="preserve">*учитывая, что составление промежуточной (по полугодиям и/или ежеквартальной) бухгалтерской отчетности не является обязательным, оценка финансового состояния </w:t>
      </w:r>
      <w:r w:rsidRPr="0043196E">
        <w:rPr>
          <w:rFonts w:ascii="Times New Roman" w:hAnsi="Times New Roman" w:cs="Times New Roman"/>
          <w:i/>
          <w:sz w:val="24"/>
          <w:szCs w:val="24"/>
        </w:rPr>
        <w:lastRenderedPageBreak/>
        <w:t>участников на промежуточные отчетные даты осуществляется только в случае предоставления участниками закупочной процедуры такой отчетности. Применение последней строки таблицы допускается только в случаях недостаточно продолжительного срока существования участника.</w:t>
      </w:r>
    </w:p>
    <w:p w:rsidR="0043196E" w:rsidRPr="0043196E" w:rsidRDefault="00072562" w:rsidP="00072562">
      <w:pPr>
        <w:pStyle w:val="aa"/>
        <w:spacing w:before="120" w:after="120"/>
        <w:ind w:left="-567" w:hanging="709"/>
        <w:jc w:val="both"/>
      </w:pPr>
      <w:r>
        <w:t xml:space="preserve">9.2.    </w:t>
      </w:r>
      <w:r w:rsidR="0043196E" w:rsidRPr="0043196E">
        <w:t>Допускается корректировка весовых коэффициентов отчетных дат по причине недостаточно продолжительной истории существования участника закупочной процедуры, когда данные за прошедшие финансовые года отсутствуют, как это указано в строках 3 и 4 Таблицы Весовые коэффициенты отчетных дат.</w:t>
      </w:r>
    </w:p>
    <w:p w:rsidR="0043196E" w:rsidRPr="00072562" w:rsidRDefault="00072562" w:rsidP="00072562">
      <w:pPr>
        <w:spacing w:before="120" w:after="120"/>
        <w:ind w:left="-567" w:hanging="709"/>
        <w:jc w:val="both"/>
        <w:rPr>
          <w:rFonts w:ascii="Times New Roman" w:eastAsia="Times New Roman" w:hAnsi="Times New Roman" w:cs="Times New Roman"/>
          <w:sz w:val="24"/>
          <w:szCs w:val="24"/>
          <w:lang w:eastAsia="ru-RU"/>
        </w:rPr>
      </w:pPr>
      <w:r w:rsidRPr="00072562">
        <w:rPr>
          <w:rFonts w:ascii="Times New Roman" w:eastAsia="Times New Roman" w:hAnsi="Times New Roman" w:cs="Times New Roman"/>
          <w:sz w:val="24"/>
          <w:szCs w:val="24"/>
          <w:lang w:eastAsia="ru-RU"/>
        </w:rPr>
        <w:t xml:space="preserve">9.3. </w:t>
      </w:r>
      <w:r w:rsidR="0043196E" w:rsidRPr="000725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43196E" w:rsidRPr="00072562">
        <w:rPr>
          <w:rFonts w:ascii="Times New Roman" w:eastAsia="Times New Roman" w:hAnsi="Times New Roman" w:cs="Times New Roman"/>
          <w:sz w:val="24"/>
          <w:szCs w:val="24"/>
          <w:lang w:eastAsia="ru-RU"/>
        </w:rPr>
        <w:t>В случае отсутствия данных бухгалтерской отчетности за какой-либо завершенный финансовый год из указанных в таблице по причине не предоставления участником закупочной процедуры или другим причинам, отличным от описанных в п. 9.2. и при отсутствии указанной информации в других источниках (например, Спарк-Интерфакс), и если при этом данный факт существенно влияет на оценку кредитных рисков конкретного участника закупочной процедуры итоговая оценка для данного участника должна быть понижена Экспертом, но не более чем на 1,5 балла по пятибалльной шкале</w:t>
      </w:r>
    </w:p>
    <w:p w:rsidR="0043196E" w:rsidRPr="00072562" w:rsidRDefault="00072562" w:rsidP="00072562">
      <w:pPr>
        <w:spacing w:before="120" w:after="120"/>
        <w:ind w:left="-567" w:hanging="709"/>
        <w:jc w:val="both"/>
        <w:rPr>
          <w:rFonts w:ascii="Times New Roman" w:eastAsia="Times New Roman" w:hAnsi="Times New Roman" w:cs="Times New Roman"/>
          <w:sz w:val="24"/>
          <w:szCs w:val="24"/>
          <w:lang w:eastAsia="ru-RU"/>
        </w:rPr>
      </w:pPr>
      <w:r w:rsidRPr="00072562">
        <w:rPr>
          <w:rFonts w:ascii="Times New Roman" w:eastAsia="Times New Roman" w:hAnsi="Times New Roman" w:cs="Times New Roman"/>
          <w:sz w:val="24"/>
          <w:szCs w:val="24"/>
          <w:lang w:eastAsia="ru-RU"/>
        </w:rPr>
        <w:t xml:space="preserve">9.4. </w:t>
      </w:r>
      <w:r>
        <w:rPr>
          <w:rFonts w:ascii="Times New Roman" w:eastAsia="Times New Roman" w:hAnsi="Times New Roman" w:cs="Times New Roman"/>
          <w:sz w:val="24"/>
          <w:szCs w:val="24"/>
          <w:lang w:eastAsia="ru-RU"/>
        </w:rPr>
        <w:t xml:space="preserve">  </w:t>
      </w:r>
      <w:r w:rsidR="0043196E" w:rsidRPr="00072562">
        <w:rPr>
          <w:rFonts w:ascii="Times New Roman" w:eastAsia="Times New Roman" w:hAnsi="Times New Roman" w:cs="Times New Roman"/>
          <w:sz w:val="24"/>
          <w:szCs w:val="24"/>
          <w:lang w:eastAsia="ru-RU"/>
        </w:rPr>
        <w:t>Участник закупочной процедуры, не предоставивший бухгалтерскую отчетность, в том числе после осуществления дополнительного запроса, ни на одну из указанных отчетных дат, должен быть отклонен на отборочной стадии.</w:t>
      </w:r>
    </w:p>
    <w:p w:rsidR="0043196E" w:rsidRPr="00072562" w:rsidRDefault="00072562" w:rsidP="00072562">
      <w:pPr>
        <w:spacing w:before="120" w:after="120"/>
        <w:ind w:left="-567" w:hanging="709"/>
        <w:jc w:val="both"/>
        <w:rPr>
          <w:rFonts w:ascii="Times New Roman" w:eastAsia="Times New Roman" w:hAnsi="Times New Roman" w:cs="Times New Roman"/>
          <w:sz w:val="24"/>
          <w:szCs w:val="24"/>
          <w:lang w:eastAsia="ru-RU"/>
        </w:rPr>
      </w:pPr>
      <w:r w:rsidRPr="00072562">
        <w:rPr>
          <w:rFonts w:ascii="Times New Roman" w:eastAsia="Times New Roman" w:hAnsi="Times New Roman" w:cs="Times New Roman"/>
          <w:sz w:val="24"/>
          <w:szCs w:val="24"/>
          <w:lang w:eastAsia="ru-RU"/>
        </w:rPr>
        <w:t xml:space="preserve">9.5. </w:t>
      </w:r>
      <w:r>
        <w:rPr>
          <w:rFonts w:ascii="Times New Roman" w:eastAsia="Times New Roman" w:hAnsi="Times New Roman" w:cs="Times New Roman"/>
          <w:sz w:val="24"/>
          <w:szCs w:val="24"/>
          <w:lang w:eastAsia="ru-RU"/>
        </w:rPr>
        <w:t xml:space="preserve">   </w:t>
      </w:r>
      <w:r w:rsidR="0043196E" w:rsidRPr="00072562">
        <w:rPr>
          <w:rFonts w:ascii="Times New Roman" w:eastAsia="Times New Roman" w:hAnsi="Times New Roman" w:cs="Times New Roman"/>
          <w:sz w:val="24"/>
          <w:szCs w:val="24"/>
          <w:lang w:eastAsia="ru-RU"/>
        </w:rPr>
        <w:t>После того как каждому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 неудовлетворительному, а 1 – отличному значению показателя), осуществляется взвешенное суммирование. Весовые коэффициенты для каждой группы показателей устанавливаются настоящей Методикой (Таблица Весовые коэффициенты). А основным результатом применения балльно-весового подхода с параметрами (баллами и весами), описанными выше, является первичная оценка по шкале от 0 до 1. Данная оценка используется как на отборочной стадии, посредством установки минимального проходного балла, так и на оценочной стадии для ранжирования предложений участников закупочной процедуры.</w:t>
      </w:r>
    </w:p>
    <w:p w:rsidR="0043196E" w:rsidRDefault="0043196E" w:rsidP="0043196E">
      <w:pPr>
        <w:pStyle w:val="aa"/>
        <w:spacing w:before="120" w:after="120"/>
        <w:ind w:left="-567"/>
        <w:jc w:val="both"/>
      </w:pPr>
    </w:p>
    <w:p w:rsidR="00A444A4" w:rsidRDefault="00A444A4" w:rsidP="0043196E">
      <w:pPr>
        <w:pStyle w:val="aa"/>
        <w:spacing w:before="120" w:after="120"/>
        <w:ind w:left="-567"/>
        <w:jc w:val="both"/>
      </w:pPr>
    </w:p>
    <w:p w:rsidR="00A444A4" w:rsidRDefault="00A444A4" w:rsidP="0043196E">
      <w:pPr>
        <w:pStyle w:val="aa"/>
        <w:spacing w:before="120" w:after="120"/>
        <w:ind w:left="-567"/>
        <w:jc w:val="both"/>
      </w:pPr>
    </w:p>
    <w:p w:rsidR="00A444A4" w:rsidRDefault="00A444A4" w:rsidP="0043196E">
      <w:pPr>
        <w:pStyle w:val="aa"/>
        <w:spacing w:before="120" w:after="120"/>
        <w:ind w:left="-567"/>
        <w:jc w:val="both"/>
      </w:pPr>
    </w:p>
    <w:p w:rsidR="00A444A4" w:rsidRDefault="00A444A4" w:rsidP="0043196E">
      <w:pPr>
        <w:pStyle w:val="aa"/>
        <w:spacing w:before="120" w:after="120"/>
        <w:ind w:left="-567"/>
        <w:jc w:val="both"/>
      </w:pPr>
    </w:p>
    <w:p w:rsidR="00A444A4" w:rsidRDefault="00A444A4" w:rsidP="0043196E">
      <w:pPr>
        <w:pStyle w:val="aa"/>
        <w:spacing w:before="120" w:after="120"/>
        <w:ind w:left="-567"/>
        <w:jc w:val="both"/>
      </w:pPr>
    </w:p>
    <w:p w:rsidR="00A444A4" w:rsidRDefault="00A444A4" w:rsidP="0043196E">
      <w:pPr>
        <w:pStyle w:val="aa"/>
        <w:spacing w:before="120" w:after="120"/>
        <w:ind w:left="-567"/>
        <w:jc w:val="both"/>
      </w:pPr>
    </w:p>
    <w:p w:rsidR="00A444A4" w:rsidRDefault="00A444A4" w:rsidP="0043196E">
      <w:pPr>
        <w:pStyle w:val="aa"/>
        <w:spacing w:before="120" w:after="120"/>
        <w:ind w:left="-567"/>
        <w:jc w:val="both"/>
      </w:pPr>
    </w:p>
    <w:p w:rsidR="00A444A4" w:rsidRDefault="00A444A4" w:rsidP="0043196E">
      <w:pPr>
        <w:pStyle w:val="aa"/>
        <w:spacing w:before="120" w:after="120"/>
        <w:ind w:left="-567"/>
        <w:jc w:val="both"/>
      </w:pPr>
    </w:p>
    <w:p w:rsidR="00A444A4" w:rsidRDefault="00A444A4" w:rsidP="0043196E">
      <w:pPr>
        <w:pStyle w:val="aa"/>
        <w:spacing w:before="120" w:after="120"/>
        <w:ind w:left="-567"/>
        <w:jc w:val="both"/>
      </w:pPr>
    </w:p>
    <w:p w:rsidR="00A444A4" w:rsidRPr="0043196E" w:rsidRDefault="00A444A4" w:rsidP="0043196E">
      <w:pPr>
        <w:pStyle w:val="aa"/>
        <w:spacing w:before="120" w:after="120"/>
        <w:ind w:left="-567"/>
        <w:jc w:val="both"/>
      </w:pPr>
    </w:p>
    <w:p w:rsidR="0043196E" w:rsidRPr="0043196E" w:rsidRDefault="0043196E" w:rsidP="0043196E">
      <w:pPr>
        <w:spacing w:before="120" w:after="120"/>
        <w:ind w:left="-567"/>
        <w:jc w:val="right"/>
        <w:rPr>
          <w:rFonts w:ascii="Times New Roman" w:hAnsi="Times New Roman" w:cs="Times New Roman"/>
          <w:sz w:val="24"/>
          <w:szCs w:val="24"/>
        </w:rPr>
      </w:pPr>
      <w:r w:rsidRPr="0043196E">
        <w:rPr>
          <w:rFonts w:ascii="Times New Roman" w:hAnsi="Times New Roman" w:cs="Times New Roman"/>
          <w:sz w:val="24"/>
          <w:szCs w:val="24"/>
        </w:rPr>
        <w:t>Таблица Весовые коэффициенты</w:t>
      </w:r>
    </w:p>
    <w:tbl>
      <w:tblPr>
        <w:tblW w:w="974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3061"/>
        <w:gridCol w:w="740"/>
        <w:gridCol w:w="2864"/>
        <w:gridCol w:w="866"/>
        <w:gridCol w:w="1300"/>
      </w:tblGrid>
      <w:tr w:rsidR="0043196E" w:rsidRPr="0043196E" w:rsidTr="00906887">
        <w:trPr>
          <w:trHeight w:val="2235"/>
        </w:trPr>
        <w:tc>
          <w:tcPr>
            <w:tcW w:w="1050" w:type="dxa"/>
            <w:shd w:val="clear" w:color="auto" w:fill="auto"/>
            <w:noWrap/>
            <w:vAlign w:val="bottom"/>
          </w:tcPr>
          <w:p w:rsidR="0043196E" w:rsidRPr="0043196E" w:rsidRDefault="0043196E" w:rsidP="00906887">
            <w:pPr>
              <w:rPr>
                <w:rFonts w:ascii="Times New Roman" w:hAnsi="Times New Roman" w:cs="Times New Roman"/>
                <w:color w:val="000000"/>
                <w:sz w:val="24"/>
                <w:szCs w:val="24"/>
              </w:rPr>
            </w:pPr>
            <w:r w:rsidRPr="0043196E">
              <w:rPr>
                <w:rFonts w:ascii="Times New Roman" w:hAnsi="Times New Roman" w:cs="Times New Roman"/>
                <w:color w:val="000000"/>
                <w:sz w:val="24"/>
                <w:szCs w:val="24"/>
              </w:rPr>
              <w:lastRenderedPageBreak/>
              <w:t> </w:t>
            </w:r>
          </w:p>
        </w:tc>
        <w:tc>
          <w:tcPr>
            <w:tcW w:w="3061" w:type="dxa"/>
            <w:shd w:val="clear" w:color="auto" w:fill="auto"/>
            <w:noWrap/>
            <w:vAlign w:val="bottom"/>
          </w:tcPr>
          <w:p w:rsidR="0043196E" w:rsidRPr="0043196E" w:rsidRDefault="0043196E" w:rsidP="00906887">
            <w:pPr>
              <w:rPr>
                <w:rFonts w:ascii="Times New Roman" w:hAnsi="Times New Roman" w:cs="Times New Roman"/>
                <w:color w:val="000000"/>
                <w:sz w:val="24"/>
                <w:szCs w:val="24"/>
              </w:rPr>
            </w:pPr>
            <w:r w:rsidRPr="0043196E">
              <w:rPr>
                <w:rFonts w:ascii="Times New Roman" w:hAnsi="Times New Roman" w:cs="Times New Roman"/>
                <w:color w:val="000000"/>
                <w:sz w:val="24"/>
                <w:szCs w:val="24"/>
              </w:rPr>
              <w:t> </w:t>
            </w:r>
          </w:p>
        </w:tc>
        <w:tc>
          <w:tcPr>
            <w:tcW w:w="606" w:type="dxa"/>
            <w:shd w:val="clear" w:color="auto" w:fill="auto"/>
            <w:textDirection w:val="btLr"/>
            <w:vAlign w:val="center"/>
          </w:tcPr>
          <w:p w:rsidR="0043196E" w:rsidRPr="0043196E" w:rsidRDefault="0043196E" w:rsidP="00906887">
            <w:pPr>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Вес группы</w:t>
            </w:r>
          </w:p>
        </w:tc>
        <w:tc>
          <w:tcPr>
            <w:tcW w:w="2864" w:type="dxa"/>
            <w:shd w:val="clear" w:color="auto" w:fill="auto"/>
            <w:noWrap/>
            <w:vAlign w:val="center"/>
          </w:tcPr>
          <w:p w:rsidR="0043196E" w:rsidRPr="0043196E" w:rsidRDefault="0043196E" w:rsidP="00906887">
            <w:pPr>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Показатель</w:t>
            </w:r>
          </w:p>
        </w:tc>
        <w:tc>
          <w:tcPr>
            <w:tcW w:w="866" w:type="dxa"/>
            <w:shd w:val="clear" w:color="auto" w:fill="auto"/>
            <w:textDirection w:val="btLr"/>
            <w:vAlign w:val="center"/>
          </w:tcPr>
          <w:p w:rsidR="0043196E" w:rsidRPr="0043196E" w:rsidRDefault="0043196E" w:rsidP="00906887">
            <w:pPr>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Вес показателя внутри группы</w:t>
            </w:r>
          </w:p>
        </w:tc>
        <w:tc>
          <w:tcPr>
            <w:tcW w:w="1300" w:type="dxa"/>
            <w:shd w:val="clear" w:color="auto" w:fill="auto"/>
            <w:textDirection w:val="btLr"/>
            <w:vAlign w:val="center"/>
          </w:tcPr>
          <w:p w:rsidR="0043196E" w:rsidRPr="0043196E" w:rsidRDefault="0043196E" w:rsidP="00906887">
            <w:pPr>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Итоговый вес показателя с учетом веса группы показателей</w:t>
            </w:r>
          </w:p>
        </w:tc>
      </w:tr>
      <w:tr w:rsidR="0043196E" w:rsidRPr="0043196E" w:rsidTr="00906887">
        <w:trPr>
          <w:trHeight w:val="600"/>
        </w:trPr>
        <w:tc>
          <w:tcPr>
            <w:tcW w:w="1050" w:type="dxa"/>
            <w:vMerge w:val="restart"/>
            <w:shd w:val="clear" w:color="auto" w:fill="auto"/>
            <w:textDirection w:val="btLr"/>
            <w:vAlign w:val="center"/>
          </w:tcPr>
          <w:p w:rsidR="0043196E" w:rsidRPr="0043196E" w:rsidRDefault="0043196E" w:rsidP="00906887">
            <w:pPr>
              <w:jc w:val="center"/>
              <w:rPr>
                <w:rFonts w:ascii="Times New Roman" w:hAnsi="Times New Roman" w:cs="Times New Roman"/>
                <w:b/>
                <w:color w:val="000000"/>
                <w:sz w:val="24"/>
                <w:szCs w:val="24"/>
              </w:rPr>
            </w:pPr>
            <w:r w:rsidRPr="0043196E">
              <w:rPr>
                <w:rFonts w:ascii="Times New Roman" w:hAnsi="Times New Roman" w:cs="Times New Roman"/>
                <w:b/>
                <w:color w:val="000000"/>
                <w:sz w:val="24"/>
                <w:szCs w:val="24"/>
              </w:rPr>
              <w:t>Группа финансовых показателей</w:t>
            </w:r>
          </w:p>
        </w:tc>
        <w:tc>
          <w:tcPr>
            <w:tcW w:w="3061" w:type="dxa"/>
            <w:vMerge w:val="restart"/>
            <w:shd w:val="clear" w:color="auto" w:fill="auto"/>
          </w:tcPr>
          <w:p w:rsidR="0043196E" w:rsidRPr="0043196E" w:rsidRDefault="0043196E" w:rsidP="00906887">
            <w:pPr>
              <w:rPr>
                <w:rFonts w:ascii="Times New Roman" w:hAnsi="Times New Roman" w:cs="Times New Roman"/>
                <w:color w:val="000000"/>
                <w:sz w:val="24"/>
                <w:szCs w:val="24"/>
              </w:rPr>
            </w:pPr>
            <w:r w:rsidRPr="0043196E">
              <w:rPr>
                <w:rFonts w:ascii="Times New Roman" w:hAnsi="Times New Roman" w:cs="Times New Roman"/>
                <w:b/>
                <w:color w:val="000000"/>
                <w:sz w:val="24"/>
                <w:szCs w:val="24"/>
              </w:rPr>
              <w:t>1 группа</w:t>
            </w:r>
            <w:r w:rsidRPr="0043196E">
              <w:rPr>
                <w:rFonts w:ascii="Times New Roman" w:hAnsi="Times New Roman" w:cs="Times New Roman"/>
                <w:color w:val="000000"/>
                <w:sz w:val="24"/>
                <w:szCs w:val="24"/>
              </w:rPr>
              <w:t xml:space="preserve"> Коэффициенты, характеризующие способность компании расплачиваться по финансовым обязательствам и устойчивость:</w:t>
            </w:r>
          </w:p>
        </w:tc>
        <w:tc>
          <w:tcPr>
            <w:tcW w:w="606" w:type="dxa"/>
            <w:vMerge w:val="restart"/>
            <w:shd w:val="clear" w:color="auto" w:fill="auto"/>
            <w:vAlign w:val="center"/>
          </w:tcPr>
          <w:p w:rsidR="0043196E" w:rsidRPr="0043196E" w:rsidRDefault="0043196E" w:rsidP="00906887">
            <w:pPr>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0,30</w:t>
            </w:r>
          </w:p>
        </w:tc>
        <w:tc>
          <w:tcPr>
            <w:tcW w:w="2864" w:type="dxa"/>
            <w:shd w:val="clear" w:color="auto" w:fill="auto"/>
          </w:tcPr>
          <w:p w:rsidR="0043196E" w:rsidRPr="0043196E" w:rsidRDefault="0043196E" w:rsidP="00906887">
            <w:pPr>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Доля привлеченных средств в пассивах</w:t>
            </w:r>
          </w:p>
        </w:tc>
        <w:tc>
          <w:tcPr>
            <w:tcW w:w="866" w:type="dxa"/>
            <w:shd w:val="clear" w:color="auto" w:fill="auto"/>
            <w:noWrap/>
            <w:vAlign w:val="center"/>
          </w:tcPr>
          <w:p w:rsidR="0043196E" w:rsidRPr="0043196E" w:rsidRDefault="0043196E" w:rsidP="00906887">
            <w:pPr>
              <w:jc w:val="right"/>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50%</w:t>
            </w:r>
          </w:p>
        </w:tc>
        <w:tc>
          <w:tcPr>
            <w:tcW w:w="1300" w:type="dxa"/>
            <w:shd w:val="clear" w:color="auto" w:fill="auto"/>
            <w:noWrap/>
            <w:vAlign w:val="center"/>
          </w:tcPr>
          <w:p w:rsidR="0043196E" w:rsidRPr="0043196E" w:rsidRDefault="0043196E" w:rsidP="00906887">
            <w:pPr>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0,15</w:t>
            </w:r>
          </w:p>
        </w:tc>
      </w:tr>
      <w:tr w:rsidR="0043196E" w:rsidRPr="0043196E" w:rsidTr="00906887">
        <w:trPr>
          <w:trHeight w:val="600"/>
        </w:trPr>
        <w:tc>
          <w:tcPr>
            <w:tcW w:w="1050" w:type="dxa"/>
            <w:vMerge/>
            <w:vAlign w:val="center"/>
          </w:tcPr>
          <w:p w:rsidR="0043196E" w:rsidRPr="0043196E" w:rsidRDefault="0043196E" w:rsidP="00906887">
            <w:pPr>
              <w:jc w:val="center"/>
              <w:rPr>
                <w:rFonts w:ascii="Times New Roman" w:hAnsi="Times New Roman" w:cs="Times New Roman"/>
                <w:color w:val="000000"/>
                <w:sz w:val="24"/>
                <w:szCs w:val="24"/>
              </w:rPr>
            </w:pPr>
          </w:p>
        </w:tc>
        <w:tc>
          <w:tcPr>
            <w:tcW w:w="3061" w:type="dxa"/>
            <w:vMerge/>
            <w:vAlign w:val="center"/>
          </w:tcPr>
          <w:p w:rsidR="0043196E" w:rsidRPr="0043196E" w:rsidRDefault="0043196E" w:rsidP="00906887">
            <w:pPr>
              <w:rPr>
                <w:rFonts w:ascii="Times New Roman" w:hAnsi="Times New Roman" w:cs="Times New Roman"/>
                <w:color w:val="000000"/>
                <w:sz w:val="24"/>
                <w:szCs w:val="24"/>
              </w:rPr>
            </w:pPr>
          </w:p>
        </w:tc>
        <w:tc>
          <w:tcPr>
            <w:tcW w:w="606" w:type="dxa"/>
            <w:vMerge/>
            <w:vAlign w:val="center"/>
          </w:tcPr>
          <w:p w:rsidR="0043196E" w:rsidRPr="0043196E" w:rsidRDefault="0043196E" w:rsidP="00906887">
            <w:pPr>
              <w:jc w:val="center"/>
              <w:rPr>
                <w:rFonts w:ascii="Times New Roman" w:hAnsi="Times New Roman" w:cs="Times New Roman"/>
                <w:color w:val="000000"/>
                <w:sz w:val="24"/>
                <w:szCs w:val="24"/>
              </w:rPr>
            </w:pPr>
          </w:p>
        </w:tc>
        <w:tc>
          <w:tcPr>
            <w:tcW w:w="2864" w:type="dxa"/>
            <w:shd w:val="clear" w:color="auto" w:fill="auto"/>
          </w:tcPr>
          <w:p w:rsidR="0043196E" w:rsidRPr="0043196E" w:rsidRDefault="0043196E" w:rsidP="00906887">
            <w:pPr>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Рентабельность инвестированного капитала</w:t>
            </w:r>
          </w:p>
        </w:tc>
        <w:tc>
          <w:tcPr>
            <w:tcW w:w="866" w:type="dxa"/>
            <w:shd w:val="clear" w:color="auto" w:fill="auto"/>
            <w:noWrap/>
            <w:vAlign w:val="center"/>
          </w:tcPr>
          <w:p w:rsidR="0043196E" w:rsidRPr="0043196E" w:rsidRDefault="0043196E" w:rsidP="00906887">
            <w:pPr>
              <w:jc w:val="right"/>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20%</w:t>
            </w:r>
          </w:p>
        </w:tc>
        <w:tc>
          <w:tcPr>
            <w:tcW w:w="1300" w:type="dxa"/>
            <w:shd w:val="clear" w:color="auto" w:fill="auto"/>
            <w:noWrap/>
            <w:vAlign w:val="center"/>
          </w:tcPr>
          <w:p w:rsidR="0043196E" w:rsidRPr="0043196E" w:rsidRDefault="0043196E" w:rsidP="00906887">
            <w:pPr>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0,06</w:t>
            </w:r>
          </w:p>
        </w:tc>
      </w:tr>
      <w:tr w:rsidR="0043196E" w:rsidRPr="0043196E" w:rsidTr="00906887">
        <w:trPr>
          <w:trHeight w:val="300"/>
        </w:trPr>
        <w:tc>
          <w:tcPr>
            <w:tcW w:w="1050" w:type="dxa"/>
            <w:vMerge/>
            <w:vAlign w:val="center"/>
          </w:tcPr>
          <w:p w:rsidR="0043196E" w:rsidRPr="0043196E" w:rsidRDefault="0043196E" w:rsidP="00906887">
            <w:pPr>
              <w:jc w:val="center"/>
              <w:rPr>
                <w:rFonts w:ascii="Times New Roman" w:hAnsi="Times New Roman" w:cs="Times New Roman"/>
                <w:color w:val="000000"/>
                <w:sz w:val="24"/>
                <w:szCs w:val="24"/>
              </w:rPr>
            </w:pPr>
          </w:p>
        </w:tc>
        <w:tc>
          <w:tcPr>
            <w:tcW w:w="3061" w:type="dxa"/>
            <w:vMerge/>
            <w:vAlign w:val="center"/>
          </w:tcPr>
          <w:p w:rsidR="0043196E" w:rsidRPr="0043196E" w:rsidRDefault="0043196E" w:rsidP="00906887">
            <w:pPr>
              <w:rPr>
                <w:rFonts w:ascii="Times New Roman" w:hAnsi="Times New Roman" w:cs="Times New Roman"/>
                <w:color w:val="000000"/>
                <w:sz w:val="24"/>
                <w:szCs w:val="24"/>
              </w:rPr>
            </w:pPr>
          </w:p>
        </w:tc>
        <w:tc>
          <w:tcPr>
            <w:tcW w:w="606" w:type="dxa"/>
            <w:vMerge/>
            <w:vAlign w:val="center"/>
          </w:tcPr>
          <w:p w:rsidR="0043196E" w:rsidRPr="0043196E" w:rsidRDefault="0043196E" w:rsidP="00906887">
            <w:pPr>
              <w:jc w:val="center"/>
              <w:rPr>
                <w:rFonts w:ascii="Times New Roman" w:hAnsi="Times New Roman" w:cs="Times New Roman"/>
                <w:color w:val="000000"/>
                <w:sz w:val="24"/>
                <w:szCs w:val="24"/>
              </w:rPr>
            </w:pPr>
          </w:p>
        </w:tc>
        <w:tc>
          <w:tcPr>
            <w:tcW w:w="2864" w:type="dxa"/>
            <w:shd w:val="clear" w:color="auto" w:fill="auto"/>
          </w:tcPr>
          <w:p w:rsidR="0043196E" w:rsidRPr="0043196E" w:rsidRDefault="0043196E" w:rsidP="00906887">
            <w:pPr>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Долг / EBITDA</w:t>
            </w:r>
          </w:p>
        </w:tc>
        <w:tc>
          <w:tcPr>
            <w:tcW w:w="866" w:type="dxa"/>
            <w:shd w:val="clear" w:color="auto" w:fill="auto"/>
            <w:noWrap/>
            <w:vAlign w:val="center"/>
          </w:tcPr>
          <w:p w:rsidR="0043196E" w:rsidRPr="0043196E" w:rsidRDefault="0043196E" w:rsidP="00906887">
            <w:pPr>
              <w:jc w:val="right"/>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30%</w:t>
            </w:r>
          </w:p>
        </w:tc>
        <w:tc>
          <w:tcPr>
            <w:tcW w:w="1300" w:type="dxa"/>
            <w:shd w:val="clear" w:color="auto" w:fill="auto"/>
            <w:noWrap/>
            <w:vAlign w:val="center"/>
          </w:tcPr>
          <w:p w:rsidR="0043196E" w:rsidRPr="0043196E" w:rsidRDefault="0043196E" w:rsidP="00906887">
            <w:pPr>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0,09</w:t>
            </w:r>
          </w:p>
        </w:tc>
      </w:tr>
      <w:tr w:rsidR="0043196E" w:rsidRPr="0043196E" w:rsidTr="00906887">
        <w:trPr>
          <w:trHeight w:val="300"/>
        </w:trPr>
        <w:tc>
          <w:tcPr>
            <w:tcW w:w="1050" w:type="dxa"/>
            <w:vMerge/>
            <w:vAlign w:val="center"/>
          </w:tcPr>
          <w:p w:rsidR="0043196E" w:rsidRPr="0043196E" w:rsidRDefault="0043196E" w:rsidP="00906887">
            <w:pPr>
              <w:jc w:val="center"/>
              <w:rPr>
                <w:rFonts w:ascii="Times New Roman" w:hAnsi="Times New Roman" w:cs="Times New Roman"/>
                <w:color w:val="000000"/>
                <w:sz w:val="24"/>
                <w:szCs w:val="24"/>
              </w:rPr>
            </w:pPr>
          </w:p>
        </w:tc>
        <w:tc>
          <w:tcPr>
            <w:tcW w:w="3061" w:type="dxa"/>
            <w:vMerge w:val="restart"/>
            <w:shd w:val="clear" w:color="auto" w:fill="auto"/>
          </w:tcPr>
          <w:p w:rsidR="0043196E" w:rsidRPr="0043196E" w:rsidRDefault="0043196E" w:rsidP="00906887">
            <w:pPr>
              <w:rPr>
                <w:rFonts w:ascii="Times New Roman" w:hAnsi="Times New Roman" w:cs="Times New Roman"/>
                <w:color w:val="000000"/>
                <w:sz w:val="24"/>
                <w:szCs w:val="24"/>
              </w:rPr>
            </w:pPr>
            <w:r w:rsidRPr="0043196E">
              <w:rPr>
                <w:rFonts w:ascii="Times New Roman" w:hAnsi="Times New Roman" w:cs="Times New Roman"/>
                <w:b/>
                <w:color w:val="000000"/>
                <w:sz w:val="24"/>
                <w:szCs w:val="24"/>
              </w:rPr>
              <w:t>2 группа</w:t>
            </w:r>
            <w:r w:rsidRPr="0043196E">
              <w:rPr>
                <w:rFonts w:ascii="Times New Roman" w:hAnsi="Times New Roman" w:cs="Times New Roman"/>
                <w:color w:val="000000"/>
                <w:sz w:val="24"/>
                <w:szCs w:val="24"/>
              </w:rPr>
              <w:t xml:space="preserve"> Коэффициенты, характеризующие операционную деятельность</w:t>
            </w:r>
          </w:p>
        </w:tc>
        <w:tc>
          <w:tcPr>
            <w:tcW w:w="606" w:type="dxa"/>
            <w:vMerge w:val="restart"/>
            <w:shd w:val="clear" w:color="auto" w:fill="auto"/>
            <w:vAlign w:val="center"/>
          </w:tcPr>
          <w:p w:rsidR="0043196E" w:rsidRPr="0043196E" w:rsidRDefault="0043196E" w:rsidP="00906887">
            <w:pPr>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0,22</w:t>
            </w:r>
          </w:p>
        </w:tc>
        <w:tc>
          <w:tcPr>
            <w:tcW w:w="2864" w:type="dxa"/>
            <w:shd w:val="clear" w:color="auto" w:fill="auto"/>
          </w:tcPr>
          <w:p w:rsidR="0043196E" w:rsidRPr="0043196E" w:rsidRDefault="0043196E" w:rsidP="00906887">
            <w:pPr>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период оборота дебиторской задолженности</w:t>
            </w:r>
          </w:p>
        </w:tc>
        <w:tc>
          <w:tcPr>
            <w:tcW w:w="866" w:type="dxa"/>
            <w:shd w:val="clear" w:color="auto" w:fill="auto"/>
            <w:noWrap/>
            <w:vAlign w:val="center"/>
          </w:tcPr>
          <w:p w:rsidR="0043196E" w:rsidRPr="0043196E" w:rsidRDefault="0043196E" w:rsidP="00906887">
            <w:pPr>
              <w:jc w:val="right"/>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30%</w:t>
            </w:r>
          </w:p>
        </w:tc>
        <w:tc>
          <w:tcPr>
            <w:tcW w:w="1300" w:type="dxa"/>
            <w:shd w:val="clear" w:color="auto" w:fill="auto"/>
            <w:noWrap/>
            <w:vAlign w:val="center"/>
          </w:tcPr>
          <w:p w:rsidR="0043196E" w:rsidRPr="0043196E" w:rsidRDefault="0043196E" w:rsidP="00906887">
            <w:pPr>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0,07</w:t>
            </w:r>
          </w:p>
        </w:tc>
      </w:tr>
      <w:tr w:rsidR="0043196E" w:rsidRPr="0043196E" w:rsidTr="00906887">
        <w:trPr>
          <w:trHeight w:val="300"/>
        </w:trPr>
        <w:tc>
          <w:tcPr>
            <w:tcW w:w="1050" w:type="dxa"/>
            <w:vMerge/>
            <w:vAlign w:val="center"/>
          </w:tcPr>
          <w:p w:rsidR="0043196E" w:rsidRPr="0043196E" w:rsidRDefault="0043196E" w:rsidP="00906887">
            <w:pPr>
              <w:jc w:val="center"/>
              <w:rPr>
                <w:rFonts w:ascii="Times New Roman" w:hAnsi="Times New Roman" w:cs="Times New Roman"/>
                <w:color w:val="000000"/>
                <w:sz w:val="24"/>
                <w:szCs w:val="24"/>
              </w:rPr>
            </w:pPr>
          </w:p>
        </w:tc>
        <w:tc>
          <w:tcPr>
            <w:tcW w:w="3061" w:type="dxa"/>
            <w:vMerge/>
            <w:vAlign w:val="center"/>
          </w:tcPr>
          <w:p w:rsidR="0043196E" w:rsidRPr="0043196E" w:rsidRDefault="0043196E" w:rsidP="00906887">
            <w:pPr>
              <w:rPr>
                <w:rFonts w:ascii="Times New Roman" w:hAnsi="Times New Roman" w:cs="Times New Roman"/>
                <w:color w:val="000000"/>
                <w:sz w:val="24"/>
                <w:szCs w:val="24"/>
              </w:rPr>
            </w:pPr>
          </w:p>
        </w:tc>
        <w:tc>
          <w:tcPr>
            <w:tcW w:w="606" w:type="dxa"/>
            <w:vMerge/>
            <w:vAlign w:val="center"/>
          </w:tcPr>
          <w:p w:rsidR="0043196E" w:rsidRPr="0043196E" w:rsidRDefault="0043196E" w:rsidP="00906887">
            <w:pPr>
              <w:jc w:val="center"/>
              <w:rPr>
                <w:rFonts w:ascii="Times New Roman" w:hAnsi="Times New Roman" w:cs="Times New Roman"/>
                <w:color w:val="000000"/>
                <w:sz w:val="24"/>
                <w:szCs w:val="24"/>
              </w:rPr>
            </w:pPr>
          </w:p>
        </w:tc>
        <w:tc>
          <w:tcPr>
            <w:tcW w:w="2864" w:type="dxa"/>
            <w:shd w:val="clear" w:color="auto" w:fill="auto"/>
          </w:tcPr>
          <w:p w:rsidR="0043196E" w:rsidRPr="0043196E" w:rsidRDefault="0043196E" w:rsidP="00906887">
            <w:pPr>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период оборота кредиторской задолженности</w:t>
            </w:r>
          </w:p>
        </w:tc>
        <w:tc>
          <w:tcPr>
            <w:tcW w:w="866" w:type="dxa"/>
            <w:shd w:val="clear" w:color="auto" w:fill="auto"/>
            <w:noWrap/>
            <w:vAlign w:val="center"/>
          </w:tcPr>
          <w:p w:rsidR="0043196E" w:rsidRPr="0043196E" w:rsidRDefault="0043196E" w:rsidP="00906887">
            <w:pPr>
              <w:jc w:val="right"/>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70%</w:t>
            </w:r>
          </w:p>
        </w:tc>
        <w:tc>
          <w:tcPr>
            <w:tcW w:w="1300" w:type="dxa"/>
            <w:shd w:val="clear" w:color="auto" w:fill="auto"/>
            <w:noWrap/>
            <w:vAlign w:val="center"/>
          </w:tcPr>
          <w:p w:rsidR="0043196E" w:rsidRPr="0043196E" w:rsidRDefault="0043196E" w:rsidP="00906887">
            <w:pPr>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0,15</w:t>
            </w:r>
          </w:p>
        </w:tc>
      </w:tr>
      <w:tr w:rsidR="0043196E" w:rsidRPr="0043196E" w:rsidTr="00906887">
        <w:trPr>
          <w:trHeight w:val="300"/>
        </w:trPr>
        <w:tc>
          <w:tcPr>
            <w:tcW w:w="1050" w:type="dxa"/>
            <w:vMerge/>
            <w:vAlign w:val="center"/>
          </w:tcPr>
          <w:p w:rsidR="0043196E" w:rsidRPr="0043196E" w:rsidRDefault="0043196E" w:rsidP="00906887">
            <w:pPr>
              <w:jc w:val="center"/>
              <w:rPr>
                <w:rFonts w:ascii="Times New Roman" w:hAnsi="Times New Roman" w:cs="Times New Roman"/>
                <w:color w:val="000000"/>
                <w:sz w:val="24"/>
                <w:szCs w:val="24"/>
              </w:rPr>
            </w:pPr>
          </w:p>
        </w:tc>
        <w:tc>
          <w:tcPr>
            <w:tcW w:w="3061" w:type="dxa"/>
            <w:vMerge w:val="restart"/>
            <w:shd w:val="clear" w:color="auto" w:fill="auto"/>
          </w:tcPr>
          <w:p w:rsidR="0043196E" w:rsidRPr="0043196E" w:rsidRDefault="0043196E" w:rsidP="00906887">
            <w:pPr>
              <w:rPr>
                <w:rFonts w:ascii="Times New Roman" w:hAnsi="Times New Roman" w:cs="Times New Roman"/>
                <w:color w:val="000000"/>
                <w:sz w:val="24"/>
                <w:szCs w:val="24"/>
              </w:rPr>
            </w:pPr>
            <w:r w:rsidRPr="0043196E">
              <w:rPr>
                <w:rFonts w:ascii="Times New Roman" w:hAnsi="Times New Roman" w:cs="Times New Roman"/>
                <w:b/>
                <w:color w:val="000000"/>
                <w:sz w:val="24"/>
                <w:szCs w:val="24"/>
              </w:rPr>
              <w:t>3 группа</w:t>
            </w:r>
            <w:r w:rsidRPr="0043196E">
              <w:rPr>
                <w:rFonts w:ascii="Times New Roman" w:hAnsi="Times New Roman" w:cs="Times New Roman"/>
                <w:color w:val="000000"/>
                <w:sz w:val="24"/>
                <w:szCs w:val="24"/>
              </w:rPr>
              <w:t xml:space="preserve"> Коэффициенты, характеризующие ликвидность</w:t>
            </w:r>
          </w:p>
        </w:tc>
        <w:tc>
          <w:tcPr>
            <w:tcW w:w="606" w:type="dxa"/>
            <w:vMerge w:val="restart"/>
            <w:shd w:val="clear" w:color="auto" w:fill="auto"/>
            <w:vAlign w:val="center"/>
          </w:tcPr>
          <w:p w:rsidR="0043196E" w:rsidRPr="0043196E" w:rsidRDefault="0043196E" w:rsidP="00906887">
            <w:pPr>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0,13</w:t>
            </w:r>
          </w:p>
        </w:tc>
        <w:tc>
          <w:tcPr>
            <w:tcW w:w="2864" w:type="dxa"/>
            <w:shd w:val="clear" w:color="auto" w:fill="auto"/>
          </w:tcPr>
          <w:p w:rsidR="0043196E" w:rsidRPr="0043196E" w:rsidRDefault="0043196E" w:rsidP="00906887">
            <w:pPr>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 xml:space="preserve">Абсолютная ликвидность </w:t>
            </w:r>
          </w:p>
        </w:tc>
        <w:tc>
          <w:tcPr>
            <w:tcW w:w="866" w:type="dxa"/>
            <w:shd w:val="clear" w:color="auto" w:fill="auto"/>
            <w:noWrap/>
            <w:vAlign w:val="center"/>
          </w:tcPr>
          <w:p w:rsidR="0043196E" w:rsidRPr="0043196E" w:rsidRDefault="0043196E" w:rsidP="00906887">
            <w:pPr>
              <w:jc w:val="right"/>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50%</w:t>
            </w:r>
          </w:p>
        </w:tc>
        <w:tc>
          <w:tcPr>
            <w:tcW w:w="1300" w:type="dxa"/>
            <w:shd w:val="clear" w:color="auto" w:fill="auto"/>
            <w:noWrap/>
            <w:vAlign w:val="center"/>
          </w:tcPr>
          <w:p w:rsidR="0043196E" w:rsidRPr="0043196E" w:rsidRDefault="0043196E" w:rsidP="00906887">
            <w:pPr>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0,065</w:t>
            </w:r>
          </w:p>
        </w:tc>
      </w:tr>
      <w:tr w:rsidR="0043196E" w:rsidRPr="0043196E" w:rsidTr="00906887">
        <w:trPr>
          <w:trHeight w:val="900"/>
        </w:trPr>
        <w:tc>
          <w:tcPr>
            <w:tcW w:w="1050" w:type="dxa"/>
            <w:vMerge/>
            <w:vAlign w:val="center"/>
          </w:tcPr>
          <w:p w:rsidR="0043196E" w:rsidRPr="0043196E" w:rsidRDefault="0043196E" w:rsidP="00906887">
            <w:pPr>
              <w:jc w:val="center"/>
              <w:rPr>
                <w:rFonts w:ascii="Times New Roman" w:hAnsi="Times New Roman" w:cs="Times New Roman"/>
                <w:color w:val="000000"/>
                <w:sz w:val="24"/>
                <w:szCs w:val="24"/>
              </w:rPr>
            </w:pPr>
          </w:p>
        </w:tc>
        <w:tc>
          <w:tcPr>
            <w:tcW w:w="3061" w:type="dxa"/>
            <w:vMerge/>
            <w:vAlign w:val="center"/>
          </w:tcPr>
          <w:p w:rsidR="0043196E" w:rsidRPr="0043196E" w:rsidRDefault="0043196E" w:rsidP="00906887">
            <w:pPr>
              <w:rPr>
                <w:rFonts w:ascii="Times New Roman" w:hAnsi="Times New Roman" w:cs="Times New Roman"/>
                <w:color w:val="000000"/>
                <w:sz w:val="24"/>
                <w:szCs w:val="24"/>
              </w:rPr>
            </w:pPr>
          </w:p>
        </w:tc>
        <w:tc>
          <w:tcPr>
            <w:tcW w:w="606" w:type="dxa"/>
            <w:vMerge/>
            <w:vAlign w:val="center"/>
          </w:tcPr>
          <w:p w:rsidR="0043196E" w:rsidRPr="0043196E" w:rsidRDefault="0043196E" w:rsidP="00906887">
            <w:pPr>
              <w:jc w:val="center"/>
              <w:rPr>
                <w:rFonts w:ascii="Times New Roman" w:hAnsi="Times New Roman" w:cs="Times New Roman"/>
                <w:color w:val="000000"/>
                <w:sz w:val="24"/>
                <w:szCs w:val="24"/>
              </w:rPr>
            </w:pPr>
          </w:p>
        </w:tc>
        <w:tc>
          <w:tcPr>
            <w:tcW w:w="2864" w:type="dxa"/>
            <w:shd w:val="clear" w:color="auto" w:fill="auto"/>
          </w:tcPr>
          <w:p w:rsidR="0043196E" w:rsidRPr="0043196E" w:rsidRDefault="0043196E" w:rsidP="00906887">
            <w:pPr>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 xml:space="preserve">Покрытие внеоборотных активов долгосрочными источниками финансирования </w:t>
            </w:r>
          </w:p>
        </w:tc>
        <w:tc>
          <w:tcPr>
            <w:tcW w:w="866" w:type="dxa"/>
            <w:shd w:val="clear" w:color="auto" w:fill="auto"/>
            <w:noWrap/>
            <w:vAlign w:val="center"/>
          </w:tcPr>
          <w:p w:rsidR="0043196E" w:rsidRPr="0043196E" w:rsidRDefault="0043196E" w:rsidP="00906887">
            <w:pPr>
              <w:jc w:val="right"/>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50%</w:t>
            </w:r>
          </w:p>
        </w:tc>
        <w:tc>
          <w:tcPr>
            <w:tcW w:w="1300" w:type="dxa"/>
            <w:shd w:val="clear" w:color="auto" w:fill="auto"/>
            <w:noWrap/>
            <w:vAlign w:val="center"/>
          </w:tcPr>
          <w:p w:rsidR="0043196E" w:rsidRPr="0043196E" w:rsidRDefault="0043196E" w:rsidP="00906887">
            <w:pPr>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0,065</w:t>
            </w:r>
          </w:p>
        </w:tc>
      </w:tr>
      <w:tr w:rsidR="0043196E" w:rsidRPr="0043196E" w:rsidTr="00906887">
        <w:trPr>
          <w:trHeight w:val="705"/>
        </w:trPr>
        <w:tc>
          <w:tcPr>
            <w:tcW w:w="1050" w:type="dxa"/>
            <w:vMerge w:val="restart"/>
            <w:shd w:val="clear" w:color="auto" w:fill="auto"/>
            <w:textDirection w:val="btLr"/>
            <w:vAlign w:val="center"/>
          </w:tcPr>
          <w:p w:rsidR="0043196E" w:rsidRPr="0043196E" w:rsidRDefault="0043196E" w:rsidP="00906887">
            <w:pPr>
              <w:jc w:val="center"/>
              <w:rPr>
                <w:rFonts w:ascii="Times New Roman" w:hAnsi="Times New Roman" w:cs="Times New Roman"/>
                <w:b/>
                <w:color w:val="000000"/>
                <w:sz w:val="24"/>
                <w:szCs w:val="24"/>
              </w:rPr>
            </w:pPr>
            <w:r w:rsidRPr="0043196E">
              <w:rPr>
                <w:rFonts w:ascii="Times New Roman" w:hAnsi="Times New Roman" w:cs="Times New Roman"/>
                <w:b/>
                <w:color w:val="000000"/>
                <w:sz w:val="24"/>
                <w:szCs w:val="24"/>
              </w:rPr>
              <w:t>Группа показателей бизнес-риска</w:t>
            </w:r>
          </w:p>
        </w:tc>
        <w:tc>
          <w:tcPr>
            <w:tcW w:w="3061" w:type="dxa"/>
            <w:vMerge w:val="restart"/>
            <w:shd w:val="clear" w:color="auto" w:fill="auto"/>
          </w:tcPr>
          <w:p w:rsidR="0043196E" w:rsidRPr="0043196E" w:rsidRDefault="0043196E" w:rsidP="00906887">
            <w:pPr>
              <w:rPr>
                <w:rFonts w:ascii="Times New Roman" w:hAnsi="Times New Roman" w:cs="Times New Roman"/>
                <w:color w:val="000000"/>
                <w:sz w:val="24"/>
                <w:szCs w:val="24"/>
              </w:rPr>
            </w:pPr>
            <w:r w:rsidRPr="0043196E">
              <w:rPr>
                <w:rFonts w:ascii="Times New Roman" w:hAnsi="Times New Roman" w:cs="Times New Roman"/>
                <w:b/>
                <w:color w:val="000000"/>
                <w:sz w:val="24"/>
                <w:szCs w:val="24"/>
              </w:rPr>
              <w:t>4 группа</w:t>
            </w:r>
            <w:r w:rsidRPr="0043196E">
              <w:rPr>
                <w:rFonts w:ascii="Times New Roman" w:hAnsi="Times New Roman" w:cs="Times New Roman"/>
                <w:color w:val="000000"/>
                <w:sz w:val="24"/>
                <w:szCs w:val="24"/>
              </w:rPr>
              <w:t xml:space="preserve"> Соответствие масштабов деятельности участника закупочной процедуры сумме закупки (в сравнении с активами, с выручкой)</w:t>
            </w:r>
          </w:p>
        </w:tc>
        <w:tc>
          <w:tcPr>
            <w:tcW w:w="606" w:type="dxa"/>
            <w:vMerge w:val="restart"/>
            <w:shd w:val="clear" w:color="auto" w:fill="auto"/>
            <w:vAlign w:val="center"/>
          </w:tcPr>
          <w:p w:rsidR="0043196E" w:rsidRPr="0043196E" w:rsidRDefault="0043196E" w:rsidP="00906887">
            <w:pPr>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0,38</w:t>
            </w:r>
          </w:p>
        </w:tc>
        <w:tc>
          <w:tcPr>
            <w:tcW w:w="2864" w:type="dxa"/>
            <w:shd w:val="clear" w:color="auto" w:fill="auto"/>
          </w:tcPr>
          <w:p w:rsidR="0043196E" w:rsidRPr="0043196E" w:rsidRDefault="0043196E" w:rsidP="00906887">
            <w:pPr>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Сумма закупки* / Выручка</w:t>
            </w:r>
          </w:p>
        </w:tc>
        <w:tc>
          <w:tcPr>
            <w:tcW w:w="866" w:type="dxa"/>
            <w:shd w:val="clear" w:color="auto" w:fill="auto"/>
            <w:noWrap/>
            <w:vAlign w:val="center"/>
          </w:tcPr>
          <w:p w:rsidR="0043196E" w:rsidRPr="0043196E" w:rsidRDefault="0043196E" w:rsidP="00906887">
            <w:pPr>
              <w:jc w:val="right"/>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50%</w:t>
            </w:r>
          </w:p>
        </w:tc>
        <w:tc>
          <w:tcPr>
            <w:tcW w:w="1300" w:type="dxa"/>
            <w:shd w:val="clear" w:color="auto" w:fill="auto"/>
            <w:noWrap/>
            <w:vAlign w:val="center"/>
          </w:tcPr>
          <w:p w:rsidR="0043196E" w:rsidRPr="0043196E" w:rsidRDefault="0043196E" w:rsidP="00906887">
            <w:pPr>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0,19</w:t>
            </w:r>
          </w:p>
        </w:tc>
      </w:tr>
      <w:tr w:rsidR="0043196E" w:rsidRPr="0043196E" w:rsidTr="00906887">
        <w:trPr>
          <w:trHeight w:val="705"/>
        </w:trPr>
        <w:tc>
          <w:tcPr>
            <w:tcW w:w="1050" w:type="dxa"/>
            <w:vMerge/>
            <w:vAlign w:val="center"/>
          </w:tcPr>
          <w:p w:rsidR="0043196E" w:rsidRPr="0043196E" w:rsidRDefault="0043196E" w:rsidP="00906887">
            <w:pPr>
              <w:rPr>
                <w:rFonts w:ascii="Times New Roman" w:hAnsi="Times New Roman" w:cs="Times New Roman"/>
                <w:color w:val="000000"/>
                <w:sz w:val="24"/>
                <w:szCs w:val="24"/>
              </w:rPr>
            </w:pPr>
          </w:p>
        </w:tc>
        <w:tc>
          <w:tcPr>
            <w:tcW w:w="3061" w:type="dxa"/>
            <w:vMerge/>
            <w:vAlign w:val="center"/>
          </w:tcPr>
          <w:p w:rsidR="0043196E" w:rsidRPr="0043196E" w:rsidRDefault="0043196E" w:rsidP="00906887">
            <w:pPr>
              <w:rPr>
                <w:rFonts w:ascii="Times New Roman" w:hAnsi="Times New Roman" w:cs="Times New Roman"/>
                <w:color w:val="000000"/>
                <w:sz w:val="24"/>
                <w:szCs w:val="24"/>
              </w:rPr>
            </w:pPr>
          </w:p>
        </w:tc>
        <w:tc>
          <w:tcPr>
            <w:tcW w:w="606" w:type="dxa"/>
            <w:vMerge/>
            <w:vAlign w:val="center"/>
          </w:tcPr>
          <w:p w:rsidR="0043196E" w:rsidRPr="0043196E" w:rsidRDefault="0043196E" w:rsidP="00906887">
            <w:pPr>
              <w:jc w:val="center"/>
              <w:rPr>
                <w:rFonts w:ascii="Times New Roman" w:hAnsi="Times New Roman" w:cs="Times New Roman"/>
                <w:color w:val="000000"/>
                <w:sz w:val="24"/>
                <w:szCs w:val="24"/>
              </w:rPr>
            </w:pPr>
          </w:p>
        </w:tc>
        <w:tc>
          <w:tcPr>
            <w:tcW w:w="2864" w:type="dxa"/>
            <w:shd w:val="clear" w:color="auto" w:fill="auto"/>
          </w:tcPr>
          <w:p w:rsidR="0043196E" w:rsidRPr="0043196E" w:rsidRDefault="0043196E" w:rsidP="00906887">
            <w:pPr>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Сумма закупки* / Активы</w:t>
            </w:r>
          </w:p>
        </w:tc>
        <w:tc>
          <w:tcPr>
            <w:tcW w:w="866" w:type="dxa"/>
            <w:shd w:val="clear" w:color="auto" w:fill="auto"/>
            <w:noWrap/>
            <w:vAlign w:val="center"/>
          </w:tcPr>
          <w:p w:rsidR="0043196E" w:rsidRPr="0043196E" w:rsidRDefault="0043196E" w:rsidP="00906887">
            <w:pPr>
              <w:jc w:val="right"/>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50%</w:t>
            </w:r>
          </w:p>
        </w:tc>
        <w:tc>
          <w:tcPr>
            <w:tcW w:w="1300" w:type="dxa"/>
            <w:shd w:val="clear" w:color="auto" w:fill="auto"/>
            <w:noWrap/>
            <w:vAlign w:val="center"/>
          </w:tcPr>
          <w:p w:rsidR="0043196E" w:rsidRPr="0043196E" w:rsidRDefault="0043196E" w:rsidP="00906887">
            <w:pPr>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0,19</w:t>
            </w:r>
          </w:p>
        </w:tc>
      </w:tr>
      <w:tr w:rsidR="0043196E" w:rsidRPr="0043196E" w:rsidTr="00906887">
        <w:trPr>
          <w:trHeight w:val="685"/>
        </w:trPr>
        <w:tc>
          <w:tcPr>
            <w:tcW w:w="1050" w:type="dxa"/>
            <w:vMerge/>
            <w:vAlign w:val="center"/>
          </w:tcPr>
          <w:p w:rsidR="0043196E" w:rsidRPr="0043196E" w:rsidRDefault="0043196E" w:rsidP="00906887">
            <w:pPr>
              <w:rPr>
                <w:rFonts w:ascii="Times New Roman" w:hAnsi="Times New Roman" w:cs="Times New Roman"/>
                <w:color w:val="000000"/>
                <w:sz w:val="24"/>
                <w:szCs w:val="24"/>
              </w:rPr>
            </w:pPr>
          </w:p>
        </w:tc>
        <w:tc>
          <w:tcPr>
            <w:tcW w:w="3061" w:type="dxa"/>
            <w:shd w:val="clear" w:color="auto" w:fill="auto"/>
          </w:tcPr>
          <w:p w:rsidR="0043196E" w:rsidRPr="0043196E" w:rsidRDefault="0043196E" w:rsidP="00906887">
            <w:pPr>
              <w:rPr>
                <w:rFonts w:ascii="Times New Roman" w:hAnsi="Times New Roman" w:cs="Times New Roman"/>
                <w:color w:val="000000"/>
                <w:sz w:val="24"/>
                <w:szCs w:val="24"/>
              </w:rPr>
            </w:pPr>
            <w:r w:rsidRPr="0043196E">
              <w:rPr>
                <w:rFonts w:ascii="Times New Roman" w:hAnsi="Times New Roman" w:cs="Times New Roman"/>
                <w:b/>
                <w:color w:val="000000"/>
                <w:sz w:val="24"/>
                <w:szCs w:val="24"/>
              </w:rPr>
              <w:t>5 группа</w:t>
            </w:r>
            <w:r w:rsidRPr="0043196E">
              <w:rPr>
                <w:rFonts w:ascii="Times New Roman" w:hAnsi="Times New Roman" w:cs="Times New Roman"/>
                <w:color w:val="000000"/>
                <w:sz w:val="24"/>
                <w:szCs w:val="24"/>
              </w:rPr>
              <w:t xml:space="preserve"> Срок существования компании</w:t>
            </w:r>
          </w:p>
        </w:tc>
        <w:tc>
          <w:tcPr>
            <w:tcW w:w="606" w:type="dxa"/>
            <w:shd w:val="clear" w:color="auto" w:fill="auto"/>
            <w:vAlign w:val="center"/>
          </w:tcPr>
          <w:p w:rsidR="0043196E" w:rsidRPr="0043196E" w:rsidRDefault="0043196E" w:rsidP="00906887">
            <w:pPr>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0,18</w:t>
            </w:r>
          </w:p>
        </w:tc>
        <w:tc>
          <w:tcPr>
            <w:tcW w:w="2864" w:type="dxa"/>
            <w:shd w:val="clear" w:color="auto" w:fill="auto"/>
          </w:tcPr>
          <w:p w:rsidR="0043196E" w:rsidRPr="0043196E" w:rsidRDefault="0043196E" w:rsidP="00906887">
            <w:pPr>
              <w:rPr>
                <w:rFonts w:ascii="Times New Roman" w:hAnsi="Times New Roman" w:cs="Times New Roman"/>
                <w:i/>
                <w:color w:val="000000"/>
                <w:sz w:val="24"/>
                <w:szCs w:val="24"/>
              </w:rPr>
            </w:pPr>
          </w:p>
        </w:tc>
        <w:tc>
          <w:tcPr>
            <w:tcW w:w="866" w:type="dxa"/>
            <w:shd w:val="clear" w:color="auto" w:fill="auto"/>
            <w:noWrap/>
            <w:vAlign w:val="center"/>
          </w:tcPr>
          <w:p w:rsidR="0043196E" w:rsidRPr="0043196E" w:rsidRDefault="0043196E" w:rsidP="00906887">
            <w:pPr>
              <w:jc w:val="right"/>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100%</w:t>
            </w:r>
          </w:p>
        </w:tc>
        <w:tc>
          <w:tcPr>
            <w:tcW w:w="1300" w:type="dxa"/>
            <w:shd w:val="clear" w:color="auto" w:fill="auto"/>
            <w:noWrap/>
            <w:vAlign w:val="center"/>
          </w:tcPr>
          <w:p w:rsidR="0043196E" w:rsidRPr="0043196E" w:rsidRDefault="0043196E" w:rsidP="00906887">
            <w:pPr>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0,18</w:t>
            </w:r>
          </w:p>
        </w:tc>
      </w:tr>
      <w:tr w:rsidR="0043196E" w:rsidRPr="0043196E" w:rsidTr="00906887">
        <w:trPr>
          <w:trHeight w:val="900"/>
        </w:trPr>
        <w:tc>
          <w:tcPr>
            <w:tcW w:w="1050" w:type="dxa"/>
            <w:vMerge/>
            <w:vAlign w:val="center"/>
          </w:tcPr>
          <w:p w:rsidR="0043196E" w:rsidRPr="0043196E" w:rsidRDefault="0043196E" w:rsidP="00906887">
            <w:pPr>
              <w:rPr>
                <w:rFonts w:ascii="Times New Roman" w:hAnsi="Times New Roman" w:cs="Times New Roman"/>
                <w:color w:val="000000"/>
                <w:sz w:val="24"/>
                <w:szCs w:val="24"/>
              </w:rPr>
            </w:pPr>
          </w:p>
        </w:tc>
        <w:tc>
          <w:tcPr>
            <w:tcW w:w="3061" w:type="dxa"/>
            <w:shd w:val="clear" w:color="auto" w:fill="auto"/>
          </w:tcPr>
          <w:p w:rsidR="0043196E" w:rsidRPr="0043196E" w:rsidRDefault="0043196E" w:rsidP="00906887">
            <w:pPr>
              <w:rPr>
                <w:rFonts w:ascii="Times New Roman" w:hAnsi="Times New Roman" w:cs="Times New Roman"/>
                <w:color w:val="000000"/>
                <w:sz w:val="24"/>
                <w:szCs w:val="24"/>
              </w:rPr>
            </w:pPr>
            <w:r w:rsidRPr="0043196E">
              <w:rPr>
                <w:rFonts w:ascii="Times New Roman" w:hAnsi="Times New Roman" w:cs="Times New Roman"/>
                <w:b/>
                <w:color w:val="000000"/>
                <w:sz w:val="24"/>
                <w:szCs w:val="24"/>
              </w:rPr>
              <w:t>6 группа</w:t>
            </w:r>
            <w:r w:rsidRPr="0043196E">
              <w:rPr>
                <w:rFonts w:ascii="Times New Roman" w:hAnsi="Times New Roman" w:cs="Times New Roman"/>
                <w:color w:val="000000"/>
                <w:sz w:val="24"/>
                <w:szCs w:val="24"/>
              </w:rPr>
              <w:t xml:space="preserve"> Финансовые условия сделки</w:t>
            </w:r>
            <w:r w:rsidRPr="0043196E">
              <w:rPr>
                <w:rFonts w:ascii="Times New Roman" w:hAnsi="Times New Roman" w:cs="Times New Roman"/>
                <w:color w:val="000000"/>
                <w:sz w:val="24"/>
                <w:szCs w:val="24"/>
              </w:rPr>
              <w:br/>
              <w:t xml:space="preserve">- авансовые платежи </w:t>
            </w:r>
            <w:r w:rsidRPr="0043196E">
              <w:rPr>
                <w:rFonts w:ascii="Times New Roman" w:hAnsi="Times New Roman" w:cs="Times New Roman"/>
                <w:color w:val="000000"/>
                <w:sz w:val="24"/>
                <w:szCs w:val="24"/>
              </w:rPr>
              <w:lastRenderedPageBreak/>
              <w:t>есть/нет</w:t>
            </w:r>
            <w:r w:rsidRPr="0043196E">
              <w:rPr>
                <w:rFonts w:ascii="Times New Roman" w:hAnsi="Times New Roman" w:cs="Times New Roman"/>
                <w:color w:val="000000"/>
                <w:sz w:val="24"/>
                <w:szCs w:val="24"/>
              </w:rPr>
              <w:br/>
              <w:t>- обеспечение (банковская гарантия)</w:t>
            </w:r>
          </w:p>
        </w:tc>
        <w:tc>
          <w:tcPr>
            <w:tcW w:w="606" w:type="dxa"/>
            <w:shd w:val="clear" w:color="auto" w:fill="auto"/>
            <w:vAlign w:val="center"/>
          </w:tcPr>
          <w:p w:rsidR="0043196E" w:rsidRPr="0043196E" w:rsidRDefault="0043196E" w:rsidP="00906887">
            <w:pPr>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lastRenderedPageBreak/>
              <w:t>0,23</w:t>
            </w:r>
          </w:p>
        </w:tc>
        <w:tc>
          <w:tcPr>
            <w:tcW w:w="2864" w:type="dxa"/>
            <w:shd w:val="clear" w:color="auto" w:fill="auto"/>
          </w:tcPr>
          <w:p w:rsidR="0043196E" w:rsidRPr="0043196E" w:rsidRDefault="0043196E" w:rsidP="00906887">
            <w:pPr>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 </w:t>
            </w:r>
          </w:p>
        </w:tc>
        <w:tc>
          <w:tcPr>
            <w:tcW w:w="866" w:type="dxa"/>
            <w:shd w:val="clear" w:color="auto" w:fill="auto"/>
            <w:noWrap/>
            <w:vAlign w:val="center"/>
          </w:tcPr>
          <w:p w:rsidR="0043196E" w:rsidRPr="0043196E" w:rsidRDefault="0043196E" w:rsidP="00906887">
            <w:pPr>
              <w:jc w:val="right"/>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100%</w:t>
            </w:r>
          </w:p>
        </w:tc>
        <w:tc>
          <w:tcPr>
            <w:tcW w:w="1300" w:type="dxa"/>
            <w:shd w:val="clear" w:color="auto" w:fill="auto"/>
            <w:noWrap/>
            <w:vAlign w:val="center"/>
          </w:tcPr>
          <w:p w:rsidR="0043196E" w:rsidRPr="0043196E" w:rsidRDefault="0043196E" w:rsidP="00906887">
            <w:pPr>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0,23</w:t>
            </w:r>
          </w:p>
        </w:tc>
      </w:tr>
      <w:tr w:rsidR="0043196E" w:rsidRPr="0043196E" w:rsidTr="00906887">
        <w:trPr>
          <w:trHeight w:val="300"/>
        </w:trPr>
        <w:tc>
          <w:tcPr>
            <w:tcW w:w="1050" w:type="dxa"/>
            <w:shd w:val="clear" w:color="auto" w:fill="auto"/>
            <w:textDirection w:val="btLr"/>
            <w:vAlign w:val="bottom"/>
          </w:tcPr>
          <w:p w:rsidR="0043196E" w:rsidRPr="0043196E" w:rsidRDefault="0043196E" w:rsidP="00906887">
            <w:pPr>
              <w:rPr>
                <w:rFonts w:ascii="Times New Roman" w:hAnsi="Times New Roman" w:cs="Times New Roman"/>
                <w:color w:val="000000"/>
                <w:sz w:val="24"/>
                <w:szCs w:val="24"/>
              </w:rPr>
            </w:pPr>
            <w:r w:rsidRPr="0043196E">
              <w:rPr>
                <w:rFonts w:ascii="Times New Roman" w:hAnsi="Times New Roman" w:cs="Times New Roman"/>
                <w:color w:val="000000"/>
                <w:sz w:val="24"/>
                <w:szCs w:val="24"/>
              </w:rPr>
              <w:t> </w:t>
            </w:r>
          </w:p>
        </w:tc>
        <w:tc>
          <w:tcPr>
            <w:tcW w:w="3061" w:type="dxa"/>
            <w:shd w:val="clear" w:color="auto" w:fill="auto"/>
          </w:tcPr>
          <w:p w:rsidR="0043196E" w:rsidRPr="0043196E" w:rsidRDefault="0043196E" w:rsidP="00906887">
            <w:pPr>
              <w:rPr>
                <w:rFonts w:ascii="Times New Roman" w:hAnsi="Times New Roman" w:cs="Times New Roman"/>
                <w:color w:val="000000"/>
                <w:sz w:val="24"/>
                <w:szCs w:val="24"/>
              </w:rPr>
            </w:pPr>
            <w:r w:rsidRPr="0043196E">
              <w:rPr>
                <w:rFonts w:ascii="Times New Roman" w:hAnsi="Times New Roman" w:cs="Times New Roman"/>
                <w:color w:val="000000"/>
                <w:sz w:val="24"/>
                <w:szCs w:val="24"/>
              </w:rPr>
              <w:t>Константа**</w:t>
            </w:r>
          </w:p>
        </w:tc>
        <w:tc>
          <w:tcPr>
            <w:tcW w:w="606" w:type="dxa"/>
            <w:shd w:val="clear" w:color="auto" w:fill="auto"/>
            <w:vAlign w:val="center"/>
          </w:tcPr>
          <w:p w:rsidR="0043196E" w:rsidRPr="0043196E" w:rsidRDefault="0043196E" w:rsidP="00906887">
            <w:pPr>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-0,37</w:t>
            </w:r>
          </w:p>
        </w:tc>
        <w:tc>
          <w:tcPr>
            <w:tcW w:w="2864" w:type="dxa"/>
            <w:shd w:val="clear" w:color="auto" w:fill="auto"/>
          </w:tcPr>
          <w:p w:rsidR="0043196E" w:rsidRPr="0043196E" w:rsidRDefault="0043196E" w:rsidP="00906887">
            <w:pPr>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 </w:t>
            </w:r>
          </w:p>
        </w:tc>
        <w:tc>
          <w:tcPr>
            <w:tcW w:w="866" w:type="dxa"/>
            <w:shd w:val="clear" w:color="auto" w:fill="auto"/>
            <w:noWrap/>
            <w:vAlign w:val="bottom"/>
          </w:tcPr>
          <w:p w:rsidR="0043196E" w:rsidRPr="0043196E" w:rsidRDefault="0043196E" w:rsidP="00906887">
            <w:pPr>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 </w:t>
            </w:r>
          </w:p>
        </w:tc>
        <w:tc>
          <w:tcPr>
            <w:tcW w:w="1300" w:type="dxa"/>
            <w:shd w:val="clear" w:color="auto" w:fill="auto"/>
            <w:noWrap/>
            <w:vAlign w:val="bottom"/>
          </w:tcPr>
          <w:p w:rsidR="0043196E" w:rsidRPr="0043196E" w:rsidRDefault="0043196E" w:rsidP="00906887">
            <w:pPr>
              <w:jc w:val="right"/>
              <w:rPr>
                <w:rFonts w:ascii="Times New Roman" w:hAnsi="Times New Roman" w:cs="Times New Roman"/>
                <w:color w:val="000000"/>
                <w:sz w:val="24"/>
                <w:szCs w:val="24"/>
              </w:rPr>
            </w:pPr>
            <w:r w:rsidRPr="0043196E">
              <w:rPr>
                <w:rFonts w:ascii="Times New Roman" w:hAnsi="Times New Roman" w:cs="Times New Roman"/>
                <w:color w:val="000000"/>
                <w:sz w:val="24"/>
                <w:szCs w:val="24"/>
              </w:rPr>
              <w:t>-0,37</w:t>
            </w:r>
          </w:p>
        </w:tc>
      </w:tr>
    </w:tbl>
    <w:p w:rsidR="0043196E" w:rsidRPr="0043196E" w:rsidRDefault="0043196E" w:rsidP="0043196E">
      <w:pPr>
        <w:tabs>
          <w:tab w:val="num" w:pos="1584"/>
        </w:tabs>
        <w:ind w:left="-567"/>
        <w:jc w:val="both"/>
        <w:rPr>
          <w:rFonts w:ascii="Times New Roman" w:hAnsi="Times New Roman" w:cs="Times New Roman"/>
          <w:i/>
          <w:sz w:val="24"/>
          <w:szCs w:val="24"/>
        </w:rPr>
      </w:pPr>
    </w:p>
    <w:p w:rsidR="0043196E" w:rsidRPr="0043196E" w:rsidRDefault="0043196E" w:rsidP="0043196E">
      <w:pPr>
        <w:tabs>
          <w:tab w:val="num" w:pos="1584"/>
        </w:tabs>
        <w:ind w:left="-567"/>
        <w:jc w:val="both"/>
        <w:rPr>
          <w:rFonts w:ascii="Times New Roman" w:hAnsi="Times New Roman" w:cs="Times New Roman"/>
          <w:i/>
          <w:sz w:val="24"/>
          <w:szCs w:val="24"/>
        </w:rPr>
      </w:pPr>
      <w:r w:rsidRPr="0043196E">
        <w:rPr>
          <w:rFonts w:ascii="Times New Roman" w:hAnsi="Times New Roman" w:cs="Times New Roman"/>
          <w:i/>
          <w:sz w:val="24"/>
          <w:szCs w:val="24"/>
        </w:rPr>
        <w:t>*Начальная (максимальная) цена для закупочных процедур</w:t>
      </w:r>
      <w:r w:rsidRPr="0043196E">
        <w:rPr>
          <w:rFonts w:ascii="Times New Roman" w:hAnsi="Times New Roman" w:cs="Times New Roman"/>
          <w:sz w:val="24"/>
          <w:szCs w:val="24"/>
        </w:rPr>
        <w:t xml:space="preserve">, </w:t>
      </w:r>
      <w:r w:rsidRPr="0043196E">
        <w:rPr>
          <w:rFonts w:ascii="Times New Roman" w:hAnsi="Times New Roman" w:cs="Times New Roman"/>
          <w:i/>
          <w:sz w:val="24"/>
          <w:szCs w:val="24"/>
        </w:rPr>
        <w:t>участниками которых могут быть только субъекты малого и среднего предпринимательства</w:t>
      </w:r>
    </w:p>
    <w:p w:rsidR="0043196E" w:rsidRPr="0043196E" w:rsidRDefault="0043196E" w:rsidP="0043196E">
      <w:pPr>
        <w:tabs>
          <w:tab w:val="num" w:pos="1584"/>
        </w:tabs>
        <w:ind w:left="-567"/>
        <w:jc w:val="both"/>
        <w:rPr>
          <w:rFonts w:ascii="Times New Roman" w:hAnsi="Times New Roman" w:cs="Times New Roman"/>
          <w:i/>
          <w:sz w:val="24"/>
          <w:szCs w:val="24"/>
        </w:rPr>
      </w:pPr>
      <w:r w:rsidRPr="0043196E">
        <w:rPr>
          <w:rFonts w:ascii="Times New Roman" w:hAnsi="Times New Roman" w:cs="Times New Roman"/>
          <w:i/>
          <w:sz w:val="24"/>
          <w:szCs w:val="24"/>
        </w:rPr>
        <w:t xml:space="preserve">**В процессе статистической обработки экспертных мнений и поиска весовых коэффициентов при помощи регрессионного пакета анализа </w:t>
      </w:r>
      <w:r w:rsidRPr="0043196E">
        <w:rPr>
          <w:rFonts w:ascii="Times New Roman" w:hAnsi="Times New Roman" w:cs="Times New Roman"/>
          <w:i/>
          <w:sz w:val="24"/>
          <w:szCs w:val="24"/>
          <w:lang w:val="en-US"/>
        </w:rPr>
        <w:t>MS</w:t>
      </w:r>
      <w:r w:rsidRPr="0043196E">
        <w:rPr>
          <w:rFonts w:ascii="Times New Roman" w:hAnsi="Times New Roman" w:cs="Times New Roman"/>
          <w:i/>
          <w:sz w:val="24"/>
          <w:szCs w:val="24"/>
        </w:rPr>
        <w:t xml:space="preserve"> </w:t>
      </w:r>
      <w:r w:rsidRPr="0043196E">
        <w:rPr>
          <w:rFonts w:ascii="Times New Roman" w:hAnsi="Times New Roman" w:cs="Times New Roman"/>
          <w:i/>
          <w:sz w:val="24"/>
          <w:szCs w:val="24"/>
          <w:lang w:val="en-US"/>
        </w:rPr>
        <w:t>Excel</w:t>
      </w:r>
      <w:r w:rsidRPr="0043196E">
        <w:rPr>
          <w:rFonts w:ascii="Times New Roman" w:hAnsi="Times New Roman" w:cs="Times New Roman"/>
          <w:i/>
          <w:sz w:val="24"/>
          <w:szCs w:val="24"/>
        </w:rPr>
        <w:t xml:space="preserve"> наиболее точное решение было получено при ненулевой константе</w:t>
      </w:r>
    </w:p>
    <w:p w:rsidR="0043196E" w:rsidRPr="0043196E" w:rsidRDefault="00072562" w:rsidP="00072562">
      <w:pPr>
        <w:pStyle w:val="aa"/>
        <w:spacing w:before="120" w:after="120"/>
        <w:ind w:left="-567" w:hanging="709"/>
        <w:jc w:val="both"/>
      </w:pPr>
      <w:r>
        <w:t xml:space="preserve">9.6.  </w:t>
      </w:r>
      <w:r w:rsidR="0043196E" w:rsidRPr="0043196E">
        <w:t>Веса для каждой группы показателей определены на основе статистической обработки экспертных мнений о степени значимости финансово-экономических критериев при проведении финансово-экономической экспертизы.</w:t>
      </w:r>
    </w:p>
    <w:p w:rsidR="0043196E" w:rsidRPr="0043196E" w:rsidRDefault="0043196E" w:rsidP="0043196E">
      <w:pPr>
        <w:pStyle w:val="aa"/>
        <w:spacing w:before="120" w:after="120"/>
        <w:ind w:left="-567"/>
        <w:jc w:val="both"/>
      </w:pPr>
    </w:p>
    <w:p w:rsidR="0043196E" w:rsidRPr="0043196E" w:rsidRDefault="00072562" w:rsidP="00072562">
      <w:pPr>
        <w:pStyle w:val="2"/>
      </w:pPr>
      <w:bookmarkStart w:id="65" w:name="_Toc326066018"/>
      <w:bookmarkStart w:id="66" w:name="_Toc326066288"/>
      <w:bookmarkStart w:id="67" w:name="_Toc326067319"/>
      <w:bookmarkStart w:id="68" w:name="_Toc516132528"/>
      <w:bookmarkStart w:id="69" w:name="_Toc519591610"/>
      <w:bookmarkStart w:id="70" w:name="_Toc322961183"/>
      <w:r>
        <w:t xml:space="preserve">10. </w:t>
      </w:r>
      <w:r w:rsidR="0043196E" w:rsidRPr="0043196E">
        <w:t>Отборочная стадия</w:t>
      </w:r>
      <w:bookmarkEnd w:id="65"/>
      <w:bookmarkEnd w:id="66"/>
      <w:bookmarkEnd w:id="67"/>
      <w:bookmarkEnd w:id="68"/>
      <w:bookmarkEnd w:id="69"/>
      <w:r w:rsidR="0043196E" w:rsidRPr="0043196E">
        <w:t xml:space="preserve"> </w:t>
      </w:r>
      <w:bookmarkEnd w:id="70"/>
    </w:p>
    <w:p w:rsidR="0043196E" w:rsidRPr="00072562" w:rsidRDefault="00072562" w:rsidP="00072562">
      <w:pPr>
        <w:spacing w:before="120" w:after="120"/>
        <w:ind w:left="-567" w:hanging="709"/>
        <w:jc w:val="both"/>
        <w:rPr>
          <w:rFonts w:ascii="Times New Roman" w:eastAsia="Times New Roman" w:hAnsi="Times New Roman" w:cs="Times New Roman"/>
          <w:sz w:val="24"/>
          <w:szCs w:val="24"/>
          <w:lang w:eastAsia="ru-RU"/>
        </w:rPr>
      </w:pPr>
      <w:bookmarkStart w:id="71" w:name="_Ref186543939"/>
      <w:r w:rsidRPr="00072562">
        <w:rPr>
          <w:rFonts w:ascii="Times New Roman" w:eastAsia="Times New Roman" w:hAnsi="Times New Roman" w:cs="Times New Roman"/>
          <w:sz w:val="24"/>
          <w:szCs w:val="24"/>
          <w:lang w:eastAsia="ru-RU"/>
        </w:rPr>
        <w:t xml:space="preserve">10.1. </w:t>
      </w:r>
      <w:r>
        <w:rPr>
          <w:rFonts w:ascii="Times New Roman" w:eastAsia="Times New Roman" w:hAnsi="Times New Roman" w:cs="Times New Roman"/>
          <w:sz w:val="24"/>
          <w:szCs w:val="24"/>
          <w:lang w:eastAsia="ru-RU"/>
        </w:rPr>
        <w:t xml:space="preserve">  </w:t>
      </w:r>
      <w:r w:rsidR="0043196E" w:rsidRPr="00072562">
        <w:rPr>
          <w:rFonts w:ascii="Times New Roman" w:eastAsia="Times New Roman" w:hAnsi="Times New Roman" w:cs="Times New Roman"/>
          <w:sz w:val="24"/>
          <w:szCs w:val="24"/>
          <w:lang w:eastAsia="ru-RU"/>
        </w:rPr>
        <w:t>Первичная оценка по шкале от 0 до 1, полученная в результате применения балльно-весового метода, используется на отборочной стадии для принятия решения о соответствии/несоответствии участника закупочной процедуры требованиям закупочной документации и настоящей Методики, а именно участник должен:</w:t>
      </w:r>
    </w:p>
    <w:p w:rsidR="0043196E" w:rsidRPr="0043196E" w:rsidRDefault="0043196E" w:rsidP="0043196E">
      <w:pPr>
        <w:numPr>
          <w:ilvl w:val="0"/>
          <w:numId w:val="1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обладать достаточной финансовой устойчивостью;</w:t>
      </w:r>
    </w:p>
    <w:p w:rsidR="0043196E" w:rsidRPr="0043196E" w:rsidRDefault="0043196E" w:rsidP="0043196E">
      <w:pPr>
        <w:numPr>
          <w:ilvl w:val="0"/>
          <w:numId w:val="1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иметь достаточно продолжительную историю существования и релевантный опыт, в оценке с точки зрения финансово-экономических критериев;</w:t>
      </w:r>
    </w:p>
    <w:p w:rsidR="0043196E" w:rsidRPr="0043196E" w:rsidRDefault="0043196E" w:rsidP="0043196E">
      <w:pPr>
        <w:numPr>
          <w:ilvl w:val="0"/>
          <w:numId w:val="1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иметь необходимые финансовые ресурсы;</w:t>
      </w:r>
    </w:p>
    <w:p w:rsidR="0043196E" w:rsidRPr="0043196E" w:rsidRDefault="0043196E" w:rsidP="0043196E">
      <w:pPr>
        <w:numPr>
          <w:ilvl w:val="0"/>
          <w:numId w:val="1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оценка финансовых условий сделки (наличие/отсутствие аванса, банковской гарантии) должна обеспечить минимизацию принимаемых кредитных рисков.</w:t>
      </w:r>
    </w:p>
    <w:p w:rsidR="0043196E" w:rsidRPr="00072562" w:rsidRDefault="00072562" w:rsidP="00072562">
      <w:pPr>
        <w:spacing w:before="120" w:after="120"/>
        <w:ind w:left="-567" w:hanging="709"/>
        <w:jc w:val="both"/>
        <w:rPr>
          <w:rFonts w:ascii="Times New Roman" w:eastAsia="Times New Roman" w:hAnsi="Times New Roman" w:cs="Times New Roman"/>
          <w:sz w:val="24"/>
          <w:szCs w:val="24"/>
          <w:lang w:eastAsia="ru-RU"/>
        </w:rPr>
      </w:pPr>
      <w:r w:rsidRPr="00072562">
        <w:rPr>
          <w:rFonts w:ascii="Times New Roman" w:eastAsia="Times New Roman" w:hAnsi="Times New Roman" w:cs="Times New Roman"/>
          <w:sz w:val="24"/>
          <w:szCs w:val="24"/>
          <w:lang w:eastAsia="ru-RU"/>
        </w:rPr>
        <w:t xml:space="preserve">10.2. </w:t>
      </w:r>
      <w:r>
        <w:rPr>
          <w:rFonts w:ascii="Times New Roman" w:eastAsia="Times New Roman" w:hAnsi="Times New Roman" w:cs="Times New Roman"/>
          <w:sz w:val="24"/>
          <w:szCs w:val="24"/>
          <w:lang w:eastAsia="ru-RU"/>
        </w:rPr>
        <w:t xml:space="preserve"> </w:t>
      </w:r>
      <w:r w:rsidR="0043196E" w:rsidRPr="00072562">
        <w:rPr>
          <w:rFonts w:ascii="Times New Roman" w:eastAsia="Times New Roman" w:hAnsi="Times New Roman" w:cs="Times New Roman"/>
          <w:sz w:val="24"/>
          <w:szCs w:val="24"/>
          <w:lang w:eastAsia="ru-RU"/>
        </w:rPr>
        <w:t>Настоящей Методикой устанавливается, что предложение участников закупочной процедуры, набравших в результате применения балльно-весового подхода менее 0,45 баллов по шкале от 0 до 1, должно быть рекомендовано к отклонению на отборочной стадии. Количество баллов от 0,45 до 0.5 соответствует пограничной ситуации, в которой для принятия решения о соответствии / несоответствии в рамках финансово-экономической экспертизы требуется участие Эксперта.</w:t>
      </w:r>
    </w:p>
    <w:p w:rsidR="0043196E" w:rsidRPr="00072562" w:rsidRDefault="00072562" w:rsidP="00072562">
      <w:pPr>
        <w:spacing w:before="120" w:after="120"/>
        <w:ind w:left="-567" w:hanging="709"/>
        <w:jc w:val="both"/>
        <w:rPr>
          <w:rFonts w:ascii="Times New Roman" w:eastAsia="Times New Roman" w:hAnsi="Times New Roman" w:cs="Times New Roman"/>
          <w:sz w:val="24"/>
          <w:szCs w:val="24"/>
          <w:lang w:eastAsia="ru-RU"/>
        </w:rPr>
      </w:pPr>
      <w:r w:rsidRPr="00072562">
        <w:rPr>
          <w:rFonts w:ascii="Times New Roman" w:eastAsia="Times New Roman" w:hAnsi="Times New Roman" w:cs="Times New Roman"/>
          <w:sz w:val="24"/>
          <w:szCs w:val="24"/>
          <w:lang w:eastAsia="ru-RU"/>
        </w:rPr>
        <w:t xml:space="preserve">10.3. </w:t>
      </w:r>
      <w:r>
        <w:rPr>
          <w:rFonts w:ascii="Times New Roman" w:eastAsia="Times New Roman" w:hAnsi="Times New Roman" w:cs="Times New Roman"/>
          <w:sz w:val="24"/>
          <w:szCs w:val="24"/>
          <w:lang w:eastAsia="ru-RU"/>
        </w:rPr>
        <w:t xml:space="preserve">  </w:t>
      </w:r>
      <w:r w:rsidR="0043196E" w:rsidRPr="00072562">
        <w:rPr>
          <w:rFonts w:ascii="Times New Roman" w:eastAsia="Times New Roman" w:hAnsi="Times New Roman" w:cs="Times New Roman"/>
          <w:sz w:val="24"/>
          <w:szCs w:val="24"/>
          <w:lang w:eastAsia="ru-RU"/>
        </w:rPr>
        <w:t>Кроме этого для принятия решения о соответствии/несоответствии используется система стоп и риск-факторов.</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b/>
          <w:sz w:val="24"/>
          <w:szCs w:val="24"/>
        </w:rPr>
        <w:t>Стоп-фактор</w:t>
      </w:r>
      <w:r w:rsidRPr="0043196E">
        <w:rPr>
          <w:rFonts w:ascii="Times New Roman" w:hAnsi="Times New Roman" w:cs="Times New Roman"/>
          <w:sz w:val="24"/>
          <w:szCs w:val="24"/>
        </w:rPr>
        <w:t xml:space="preserve"> – фактор, реализация которого должна являться основанием для отклонения предложения участника закупочной процедуры и принятия решения о несоответствии. В рамках финансово-экономической экспертизы предусмотрены следующие стоп-факторы:</w:t>
      </w:r>
    </w:p>
    <w:p w:rsidR="0043196E" w:rsidRPr="0043196E" w:rsidRDefault="0043196E" w:rsidP="0043196E">
      <w:pPr>
        <w:numPr>
          <w:ilvl w:val="0"/>
          <w:numId w:val="1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lastRenderedPageBreak/>
        <w:t>существенное несоответствие масштабов деятельности участника закупочной процедуры сумме закупки (если стоимость предложения, указанная в оферте*, более чем в 1,4 раза превышает годовую выручку компании или более чем в 2,8 раза превосходит ее суммарные активы);</w:t>
      </w:r>
    </w:p>
    <w:p w:rsidR="0043196E" w:rsidRPr="0043196E" w:rsidRDefault="0043196E" w:rsidP="0043196E">
      <w:pPr>
        <w:numPr>
          <w:ilvl w:val="0"/>
          <w:numId w:val="1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отрицательное значение 3-го раздела баланса (капитал и резервы) на последнюю отчетную дату;</w:t>
      </w:r>
    </w:p>
    <w:p w:rsidR="0043196E" w:rsidRPr="0043196E" w:rsidRDefault="0043196E" w:rsidP="0043196E">
      <w:pPr>
        <w:numPr>
          <w:ilvl w:val="0"/>
          <w:numId w:val="1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наличие у участника закупочной процедуры задолженности по начисленным налогам, сборам и иным обязательным платежам, размер которой превышает 25 (двадцать пять) процентов балансовой стоимости активов участника согласно данным бухгалтерской отчетности на последнюю отчетную дату;</w:t>
      </w:r>
    </w:p>
    <w:p w:rsidR="0043196E" w:rsidRPr="0043196E" w:rsidRDefault="0043196E" w:rsidP="0043196E">
      <w:pPr>
        <w:numPr>
          <w:ilvl w:val="0"/>
          <w:numId w:val="12"/>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неудовлетворительное финансовое состояние (если независимо от качественной оценки бизнес-рисков, финансовое состояние участника закупочной процедуры, будучи оценено только по группе финансовых показателей, неудовлетворительно – средняя оценка по группе финансовых показателей меньше 0,2 по шкале от 0 до 1).</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b/>
          <w:sz w:val="24"/>
          <w:szCs w:val="24"/>
        </w:rPr>
        <w:t>Риск-фактор</w:t>
      </w:r>
      <w:r w:rsidRPr="0043196E">
        <w:rPr>
          <w:rFonts w:ascii="Times New Roman" w:hAnsi="Times New Roman" w:cs="Times New Roman"/>
          <w:sz w:val="24"/>
          <w:szCs w:val="24"/>
        </w:rPr>
        <w:t xml:space="preserve"> – фактор, реализация которого может являться основанием для понижения Экспертом итоговой оценки. В рамках финансово-экономической экспертизы предусмотрены следующие риск-факторы:</w:t>
      </w:r>
    </w:p>
    <w:p w:rsidR="0043196E" w:rsidRPr="0043196E" w:rsidRDefault="0043196E" w:rsidP="0043196E">
      <w:pPr>
        <w:numPr>
          <w:ilvl w:val="0"/>
          <w:numId w:val="1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непокрытый убыток в балансе на последнюю отчетную дату;</w:t>
      </w:r>
    </w:p>
    <w:p w:rsidR="0043196E" w:rsidRPr="0043196E" w:rsidRDefault="0043196E" w:rsidP="0043196E">
      <w:pPr>
        <w:numPr>
          <w:ilvl w:val="0"/>
          <w:numId w:val="1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убытки за последний отчетный период или по итогам последнего года;</w:t>
      </w:r>
    </w:p>
    <w:p w:rsidR="0043196E" w:rsidRPr="0043196E" w:rsidRDefault="0043196E" w:rsidP="0043196E">
      <w:pPr>
        <w:numPr>
          <w:ilvl w:val="0"/>
          <w:numId w:val="1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срок существования компании менее года;</w:t>
      </w:r>
    </w:p>
    <w:p w:rsidR="0043196E" w:rsidRPr="0043196E" w:rsidRDefault="0043196E" w:rsidP="0043196E">
      <w:pPr>
        <w:numPr>
          <w:ilvl w:val="0"/>
          <w:numId w:val="1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сделка является достаточно крупной для участника закупочной процедуры (если стоимость предложения, указанная в оферте*, превышает 80% годовой выручки компании или более чем в 1,6 раз превосходит величину ее суммарных активов);</w:t>
      </w:r>
    </w:p>
    <w:p w:rsidR="0043196E" w:rsidRPr="0043196E" w:rsidRDefault="0043196E" w:rsidP="0043196E">
      <w:pPr>
        <w:numPr>
          <w:ilvl w:val="0"/>
          <w:numId w:val="1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если договором предусматривается выплата аванса без покрытия банковской гарантией.</w:t>
      </w:r>
      <w:r w:rsidRPr="0043196E">
        <w:rPr>
          <w:rFonts w:ascii="Times New Roman" w:hAnsi="Times New Roman" w:cs="Times New Roman"/>
          <w:i/>
          <w:sz w:val="24"/>
          <w:szCs w:val="24"/>
        </w:rPr>
        <w:t xml:space="preserve"> </w:t>
      </w:r>
    </w:p>
    <w:p w:rsidR="0043196E" w:rsidRDefault="0043196E" w:rsidP="0043196E">
      <w:pPr>
        <w:ind w:left="-567"/>
        <w:jc w:val="both"/>
        <w:rPr>
          <w:rFonts w:ascii="Times New Roman" w:hAnsi="Times New Roman" w:cs="Times New Roman"/>
          <w:i/>
          <w:sz w:val="24"/>
          <w:szCs w:val="24"/>
        </w:rPr>
      </w:pPr>
      <w:r w:rsidRPr="0043196E">
        <w:rPr>
          <w:rFonts w:ascii="Times New Roman" w:hAnsi="Times New Roman" w:cs="Times New Roman"/>
          <w:i/>
          <w:sz w:val="24"/>
          <w:szCs w:val="24"/>
        </w:rPr>
        <w:t>*Начальная (максимальная) цена для закупочных процедур</w:t>
      </w:r>
      <w:r w:rsidRPr="0043196E">
        <w:rPr>
          <w:rFonts w:ascii="Times New Roman" w:hAnsi="Times New Roman" w:cs="Times New Roman"/>
          <w:sz w:val="24"/>
          <w:szCs w:val="24"/>
        </w:rPr>
        <w:t xml:space="preserve">, </w:t>
      </w:r>
      <w:r w:rsidRPr="0043196E">
        <w:rPr>
          <w:rFonts w:ascii="Times New Roman" w:hAnsi="Times New Roman" w:cs="Times New Roman"/>
          <w:i/>
          <w:sz w:val="24"/>
          <w:szCs w:val="24"/>
        </w:rPr>
        <w:t>участниками которых могут быть только субъекты малого и среднего предпринимательства</w:t>
      </w:r>
    </w:p>
    <w:p w:rsidR="0043196E" w:rsidRPr="0043196E" w:rsidRDefault="00072562" w:rsidP="00072562">
      <w:pPr>
        <w:pStyle w:val="aa"/>
        <w:spacing w:before="120" w:after="120"/>
        <w:ind w:left="-567" w:hanging="709"/>
        <w:jc w:val="both"/>
      </w:pPr>
      <w:r>
        <w:t xml:space="preserve">10.4.   </w:t>
      </w:r>
      <w:r w:rsidR="0043196E" w:rsidRPr="0043196E">
        <w:t>На основе совместного применения балльно-весового подхода и системы стоп и риск-факторов по описанному ниже алгоритму принимается решение о прохождении участником отборочной стадии (соответствии / несоответствии)</w:t>
      </w:r>
    </w:p>
    <w:p w:rsidR="0043196E" w:rsidRPr="0043196E" w:rsidRDefault="0043196E" w:rsidP="0043196E">
      <w:pPr>
        <w:ind w:left="-567"/>
        <w:jc w:val="right"/>
        <w:rPr>
          <w:rFonts w:ascii="Times New Roman" w:hAnsi="Times New Roman" w:cs="Times New Roman"/>
          <w:sz w:val="24"/>
          <w:szCs w:val="24"/>
        </w:rPr>
      </w:pPr>
      <w:r w:rsidRPr="0043196E">
        <w:rPr>
          <w:rFonts w:ascii="Times New Roman" w:hAnsi="Times New Roman" w:cs="Times New Roman"/>
          <w:sz w:val="24"/>
          <w:szCs w:val="24"/>
        </w:rPr>
        <w:t>Таблица алгоритм</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6095"/>
      </w:tblGrid>
      <w:tr w:rsidR="0043196E" w:rsidRPr="0043196E" w:rsidTr="00906887">
        <w:trPr>
          <w:trHeight w:val="542"/>
        </w:trPr>
        <w:tc>
          <w:tcPr>
            <w:tcW w:w="3828" w:type="dxa"/>
            <w:shd w:val="clear" w:color="auto" w:fill="auto"/>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Решение о соответствии/несоответствии</w:t>
            </w:r>
          </w:p>
        </w:tc>
        <w:tc>
          <w:tcPr>
            <w:tcW w:w="6095" w:type="dxa"/>
            <w:shd w:val="clear" w:color="auto" w:fill="auto"/>
            <w:noWrap/>
            <w:vAlign w:val="center"/>
          </w:tcPr>
          <w:p w:rsidR="0043196E" w:rsidRPr="0043196E" w:rsidRDefault="0043196E" w:rsidP="00906887">
            <w:pPr>
              <w:ind w:left="-93"/>
              <w:jc w:val="center"/>
              <w:rPr>
                <w:rFonts w:ascii="Times New Roman" w:hAnsi="Times New Roman" w:cs="Times New Roman"/>
                <w:color w:val="000000"/>
                <w:sz w:val="24"/>
                <w:szCs w:val="24"/>
              </w:rPr>
            </w:pPr>
            <w:r w:rsidRPr="0043196E">
              <w:rPr>
                <w:rFonts w:ascii="Times New Roman" w:hAnsi="Times New Roman" w:cs="Times New Roman"/>
                <w:color w:val="000000"/>
                <w:sz w:val="24"/>
                <w:szCs w:val="24"/>
              </w:rPr>
              <w:t>Описание</w:t>
            </w:r>
          </w:p>
        </w:tc>
      </w:tr>
      <w:tr w:rsidR="0043196E" w:rsidRPr="0043196E" w:rsidTr="00906887">
        <w:trPr>
          <w:trHeight w:val="576"/>
        </w:trPr>
        <w:tc>
          <w:tcPr>
            <w:tcW w:w="3828" w:type="dxa"/>
            <w:shd w:val="clear" w:color="000000" w:fill="FFE5E5"/>
            <w:noWrap/>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Не соответствует</w:t>
            </w:r>
          </w:p>
        </w:tc>
        <w:tc>
          <w:tcPr>
            <w:tcW w:w="6095" w:type="dxa"/>
            <w:shd w:val="clear" w:color="000000" w:fill="FFE5E5"/>
            <w:noWrap/>
          </w:tcPr>
          <w:p w:rsidR="0043196E" w:rsidRPr="0043196E" w:rsidRDefault="0043196E" w:rsidP="00906887">
            <w:pPr>
              <w:ind w:left="-93"/>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t xml:space="preserve">Первичная оценка </w:t>
            </w:r>
            <w:r w:rsidRPr="0043196E">
              <w:rPr>
                <w:rFonts w:ascii="Times New Roman" w:hAnsi="Times New Roman" w:cs="Times New Roman"/>
                <w:b/>
                <w:color w:val="000000"/>
                <w:sz w:val="24"/>
                <w:szCs w:val="24"/>
              </w:rPr>
              <w:t>менее 0,45 баллов</w:t>
            </w:r>
            <w:r w:rsidRPr="0043196E">
              <w:rPr>
                <w:rFonts w:ascii="Times New Roman" w:hAnsi="Times New Roman" w:cs="Times New Roman"/>
                <w:color w:val="000000"/>
                <w:sz w:val="24"/>
                <w:szCs w:val="24"/>
              </w:rPr>
              <w:t xml:space="preserve"> (по шкале от 0 до 1) или имеются стоп-факторы</w:t>
            </w:r>
          </w:p>
        </w:tc>
      </w:tr>
      <w:tr w:rsidR="0043196E" w:rsidRPr="0043196E" w:rsidTr="00906887">
        <w:trPr>
          <w:trHeight w:val="1111"/>
        </w:trPr>
        <w:tc>
          <w:tcPr>
            <w:tcW w:w="3828" w:type="dxa"/>
            <w:shd w:val="clear" w:color="000000" w:fill="F8FFB9"/>
            <w:noWrap/>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Пограничная ситуация (для принятия решения о соответствии/несоответствии требуется участие Эксперта)</w:t>
            </w:r>
          </w:p>
        </w:tc>
        <w:tc>
          <w:tcPr>
            <w:tcW w:w="6095" w:type="dxa"/>
            <w:shd w:val="clear" w:color="000000" w:fill="F8FFB9"/>
            <w:noWrap/>
          </w:tcPr>
          <w:p w:rsidR="0043196E" w:rsidRPr="0043196E" w:rsidRDefault="0043196E" w:rsidP="00906887">
            <w:pPr>
              <w:ind w:left="-93"/>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t xml:space="preserve">Первичная оценка </w:t>
            </w:r>
            <w:r w:rsidRPr="0043196E">
              <w:rPr>
                <w:rFonts w:ascii="Times New Roman" w:hAnsi="Times New Roman" w:cs="Times New Roman"/>
                <w:b/>
                <w:color w:val="000000"/>
                <w:sz w:val="24"/>
                <w:szCs w:val="24"/>
              </w:rPr>
              <w:t>от 0,45 до 0,5 баллов</w:t>
            </w:r>
            <w:r w:rsidRPr="0043196E">
              <w:rPr>
                <w:rFonts w:ascii="Times New Roman" w:hAnsi="Times New Roman" w:cs="Times New Roman"/>
                <w:color w:val="000000"/>
                <w:sz w:val="24"/>
                <w:szCs w:val="24"/>
              </w:rPr>
              <w:t xml:space="preserve"> (по шкале от 0 до 1) или имеется более двух риск-факторов, стоп-факторы при этом отсутствуют</w:t>
            </w:r>
          </w:p>
        </w:tc>
      </w:tr>
      <w:tr w:rsidR="0043196E" w:rsidRPr="0043196E" w:rsidTr="00906887">
        <w:trPr>
          <w:trHeight w:val="556"/>
        </w:trPr>
        <w:tc>
          <w:tcPr>
            <w:tcW w:w="3828" w:type="dxa"/>
            <w:shd w:val="clear" w:color="000000" w:fill="C6FED1"/>
            <w:noWrap/>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Соответствует</w:t>
            </w:r>
          </w:p>
        </w:tc>
        <w:tc>
          <w:tcPr>
            <w:tcW w:w="6095" w:type="dxa"/>
            <w:shd w:val="clear" w:color="000000" w:fill="C6FED1"/>
            <w:noWrap/>
          </w:tcPr>
          <w:p w:rsidR="0043196E" w:rsidRPr="0043196E" w:rsidRDefault="0043196E" w:rsidP="00906887">
            <w:pPr>
              <w:ind w:left="-93"/>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t xml:space="preserve">Первичная оценка </w:t>
            </w:r>
            <w:r w:rsidRPr="0043196E">
              <w:rPr>
                <w:rFonts w:ascii="Times New Roman" w:hAnsi="Times New Roman" w:cs="Times New Roman"/>
                <w:b/>
                <w:color w:val="000000"/>
                <w:sz w:val="24"/>
                <w:szCs w:val="24"/>
              </w:rPr>
              <w:t>более 0,5 баллов</w:t>
            </w:r>
            <w:r w:rsidRPr="0043196E">
              <w:rPr>
                <w:rFonts w:ascii="Times New Roman" w:hAnsi="Times New Roman" w:cs="Times New Roman"/>
                <w:color w:val="000000"/>
                <w:sz w:val="24"/>
                <w:szCs w:val="24"/>
              </w:rPr>
              <w:t xml:space="preserve"> (по шкале от 0 до 1), стоп-факторы отсутствуют, имеется не более двух риск-факторов</w:t>
            </w:r>
          </w:p>
        </w:tc>
      </w:tr>
    </w:tbl>
    <w:p w:rsidR="0043196E" w:rsidRPr="0043196E" w:rsidRDefault="0043196E" w:rsidP="00072562">
      <w:pPr>
        <w:ind w:left="-567" w:hanging="709"/>
        <w:jc w:val="both"/>
        <w:rPr>
          <w:rFonts w:ascii="Times New Roman" w:hAnsi="Times New Roman" w:cs="Times New Roman"/>
          <w:sz w:val="24"/>
          <w:szCs w:val="24"/>
        </w:rPr>
      </w:pPr>
    </w:p>
    <w:p w:rsidR="0043196E" w:rsidRPr="0043196E" w:rsidRDefault="00072562" w:rsidP="00072562">
      <w:pPr>
        <w:pStyle w:val="aa"/>
        <w:spacing w:before="120" w:after="120"/>
        <w:ind w:left="-567" w:hanging="709"/>
        <w:jc w:val="both"/>
      </w:pPr>
      <w:r>
        <w:t xml:space="preserve">10.5.  </w:t>
      </w:r>
      <w:r w:rsidR="0043196E" w:rsidRPr="0043196E">
        <w:t>По итогам отборочной стадии в рамках финансово-экономической экспертизы должно быть принято решение о соответствии/несоответствии участника закупочной процедуры требованиям закупочной документации, в том числе настоящей Методики. В случае если на основании применения балльно-весового подхода и системы стоп и риск-факторов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Экспертом могут быть внесены необходимые корректировки с обоснованием своей позиции в экспертном заключении.</w:t>
      </w:r>
    </w:p>
    <w:p w:rsidR="0043196E" w:rsidRPr="0043196E" w:rsidRDefault="00072562" w:rsidP="00072562">
      <w:pPr>
        <w:pStyle w:val="aa"/>
        <w:spacing w:before="120" w:after="120"/>
        <w:ind w:left="-567" w:hanging="709"/>
        <w:jc w:val="both"/>
      </w:pPr>
      <w:r>
        <w:t xml:space="preserve">10.6.  </w:t>
      </w:r>
      <w:r w:rsidR="0043196E" w:rsidRPr="0043196E">
        <w:t>Подробный порядок применения положений Методики Экспертами на отборочной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«Финэкспертиза.xls» и приложения 3 к Методике «Алгоритм действия Эксперта при подготовке заключения по направлению финансово-экономической экспертизы с использованием шаблона «Финэкспертиза_МСП.xls».</w:t>
      </w:r>
    </w:p>
    <w:p w:rsidR="0043196E" w:rsidRPr="0043196E" w:rsidRDefault="00072562" w:rsidP="00072562">
      <w:pPr>
        <w:pStyle w:val="2"/>
      </w:pPr>
      <w:bookmarkStart w:id="72" w:name="_Toc314226186"/>
      <w:bookmarkStart w:id="73" w:name="_Toc322961184"/>
      <w:bookmarkStart w:id="74" w:name="_Toc326066019"/>
      <w:bookmarkStart w:id="75" w:name="_Toc326066289"/>
      <w:bookmarkStart w:id="76" w:name="_Toc326067320"/>
      <w:bookmarkStart w:id="77" w:name="_Toc516132529"/>
      <w:bookmarkStart w:id="78" w:name="_Toc519591611"/>
      <w:bookmarkEnd w:id="71"/>
      <w:r>
        <w:t xml:space="preserve">11. </w:t>
      </w:r>
      <w:r w:rsidR="0043196E" w:rsidRPr="0043196E">
        <w:t>Оценочная стадия</w:t>
      </w:r>
      <w:bookmarkEnd w:id="72"/>
      <w:bookmarkEnd w:id="73"/>
      <w:bookmarkEnd w:id="74"/>
      <w:bookmarkEnd w:id="75"/>
      <w:bookmarkEnd w:id="76"/>
      <w:bookmarkEnd w:id="77"/>
      <w:bookmarkEnd w:id="78"/>
    </w:p>
    <w:p w:rsidR="0043196E" w:rsidRPr="0043196E" w:rsidRDefault="00072562" w:rsidP="00072562">
      <w:pPr>
        <w:pStyle w:val="aa"/>
        <w:spacing w:before="120" w:after="120"/>
        <w:ind w:left="-567" w:hanging="709"/>
        <w:jc w:val="both"/>
      </w:pPr>
      <w:r>
        <w:t xml:space="preserve">11.1. </w:t>
      </w:r>
      <w:r w:rsidR="0043196E" w:rsidRPr="0043196E">
        <w:t>На оценочной стадии финансово-экономической экспертизы предложения участников закупочной процедуры, прошедших отборочную стадию, ранжируются с учетом оценки их финансового состояния, качественной оценки бизнес-рисков, а также предлагаемых финансовых условий сделки.</w:t>
      </w:r>
    </w:p>
    <w:p w:rsidR="0043196E" w:rsidRPr="0043196E" w:rsidRDefault="00072562" w:rsidP="00072562">
      <w:pPr>
        <w:pStyle w:val="aa"/>
        <w:spacing w:before="120" w:after="120"/>
        <w:ind w:left="-567" w:hanging="709"/>
        <w:jc w:val="both"/>
      </w:pPr>
      <w:r>
        <w:t xml:space="preserve">11.2.  </w:t>
      </w:r>
      <w:r w:rsidR="0043196E" w:rsidRPr="0043196E">
        <w:t>В основе количественной меры для сравнения участников закупочной процедуры в рамках финансово-экономической экспертизы, также используется первичный балл от 0 до 1, полученный в результате применения балльно-весового подхода. Все компании, набравшие более 0,5 баллов по шкале от 0 до 1 (по которым принято положительное решение на отборочной стадии) ранжируются с присвоением оценки по пятибалльной шкале от 1 до 5. В настоящей Методике ранжир осуществляется переводом первичной шкалы от 0 до 1 в шкалу от 0 до 5 (Таблица перевода).</w:t>
      </w:r>
    </w:p>
    <w:p w:rsidR="0043196E" w:rsidRPr="0043196E" w:rsidRDefault="0043196E" w:rsidP="0043196E">
      <w:pPr>
        <w:spacing w:before="120" w:after="120"/>
        <w:ind w:left="-567"/>
        <w:jc w:val="right"/>
        <w:rPr>
          <w:rFonts w:ascii="Times New Roman" w:hAnsi="Times New Roman" w:cs="Times New Roman"/>
          <w:sz w:val="24"/>
          <w:szCs w:val="24"/>
        </w:rPr>
      </w:pPr>
      <w:r w:rsidRPr="0043196E">
        <w:rPr>
          <w:rFonts w:ascii="Times New Roman" w:hAnsi="Times New Roman" w:cs="Times New Roman"/>
          <w:sz w:val="24"/>
          <w:szCs w:val="24"/>
        </w:rPr>
        <w:t>Таблица перевода</w:t>
      </w:r>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9"/>
        <w:gridCol w:w="2122"/>
        <w:gridCol w:w="2976"/>
        <w:gridCol w:w="1623"/>
      </w:tblGrid>
      <w:tr w:rsidR="0043196E" w:rsidRPr="0043196E" w:rsidTr="00906887">
        <w:trPr>
          <w:jc w:val="center"/>
        </w:trPr>
        <w:tc>
          <w:tcPr>
            <w:tcW w:w="2989" w:type="dxa"/>
          </w:tcPr>
          <w:p w:rsidR="0043196E" w:rsidRPr="0043196E" w:rsidRDefault="0043196E" w:rsidP="00906887">
            <w:pPr>
              <w:spacing w:after="60"/>
              <w:ind w:left="-121"/>
              <w:jc w:val="center"/>
              <w:rPr>
                <w:rFonts w:ascii="Times New Roman" w:hAnsi="Times New Roman" w:cs="Times New Roman"/>
                <w:b/>
                <w:sz w:val="24"/>
                <w:szCs w:val="24"/>
              </w:rPr>
            </w:pPr>
            <w:r w:rsidRPr="0043196E">
              <w:rPr>
                <w:rFonts w:ascii="Times New Roman" w:hAnsi="Times New Roman" w:cs="Times New Roman"/>
                <w:b/>
                <w:sz w:val="24"/>
                <w:szCs w:val="24"/>
              </w:rPr>
              <w:t>Первичный балл (0-1)</w:t>
            </w:r>
          </w:p>
        </w:tc>
        <w:tc>
          <w:tcPr>
            <w:tcW w:w="2122" w:type="dxa"/>
            <w:vAlign w:val="center"/>
          </w:tcPr>
          <w:p w:rsidR="0043196E" w:rsidRPr="0043196E" w:rsidRDefault="0043196E" w:rsidP="00906887">
            <w:pPr>
              <w:spacing w:after="60"/>
              <w:ind w:left="-121"/>
              <w:jc w:val="center"/>
              <w:rPr>
                <w:rFonts w:ascii="Times New Roman" w:hAnsi="Times New Roman" w:cs="Times New Roman"/>
                <w:sz w:val="24"/>
                <w:szCs w:val="24"/>
              </w:rPr>
            </w:pPr>
            <w:r w:rsidRPr="0043196E">
              <w:rPr>
                <w:rFonts w:ascii="Times New Roman" w:hAnsi="Times New Roman" w:cs="Times New Roman"/>
                <w:sz w:val="24"/>
                <w:szCs w:val="24"/>
              </w:rPr>
              <w:t>менее 0,45</w:t>
            </w:r>
          </w:p>
        </w:tc>
        <w:tc>
          <w:tcPr>
            <w:tcW w:w="2976" w:type="dxa"/>
            <w:vAlign w:val="center"/>
          </w:tcPr>
          <w:p w:rsidR="0043196E" w:rsidRPr="0043196E" w:rsidRDefault="0043196E" w:rsidP="00906887">
            <w:pPr>
              <w:spacing w:after="60"/>
              <w:ind w:left="-121"/>
              <w:jc w:val="center"/>
              <w:rPr>
                <w:rFonts w:ascii="Times New Roman" w:hAnsi="Times New Roman" w:cs="Times New Roman"/>
                <w:sz w:val="24"/>
                <w:szCs w:val="24"/>
              </w:rPr>
            </w:pPr>
            <w:r w:rsidRPr="0043196E">
              <w:rPr>
                <w:rFonts w:ascii="Times New Roman" w:hAnsi="Times New Roman" w:cs="Times New Roman"/>
                <w:sz w:val="24"/>
                <w:szCs w:val="24"/>
              </w:rPr>
              <w:t>от 0,45 до 0,95</w:t>
            </w:r>
          </w:p>
        </w:tc>
        <w:tc>
          <w:tcPr>
            <w:tcW w:w="1623" w:type="dxa"/>
            <w:shd w:val="clear" w:color="auto" w:fill="auto"/>
            <w:vAlign w:val="center"/>
          </w:tcPr>
          <w:p w:rsidR="0043196E" w:rsidRPr="0043196E" w:rsidRDefault="0043196E" w:rsidP="00906887">
            <w:pPr>
              <w:spacing w:after="60"/>
              <w:ind w:left="-121"/>
              <w:jc w:val="center"/>
              <w:rPr>
                <w:rFonts w:ascii="Times New Roman" w:hAnsi="Times New Roman" w:cs="Times New Roman"/>
                <w:sz w:val="24"/>
                <w:szCs w:val="24"/>
              </w:rPr>
            </w:pPr>
            <w:r w:rsidRPr="0043196E">
              <w:rPr>
                <w:rFonts w:ascii="Times New Roman" w:hAnsi="Times New Roman" w:cs="Times New Roman"/>
                <w:sz w:val="24"/>
                <w:szCs w:val="24"/>
              </w:rPr>
              <w:t>более 0,95</w:t>
            </w:r>
          </w:p>
        </w:tc>
      </w:tr>
      <w:tr w:rsidR="0043196E" w:rsidRPr="0043196E" w:rsidTr="00906887">
        <w:trPr>
          <w:trHeight w:val="773"/>
          <w:jc w:val="center"/>
        </w:trPr>
        <w:tc>
          <w:tcPr>
            <w:tcW w:w="2989" w:type="dxa"/>
            <w:vAlign w:val="center"/>
          </w:tcPr>
          <w:p w:rsidR="0043196E" w:rsidRPr="0043196E" w:rsidRDefault="0043196E" w:rsidP="00906887">
            <w:pPr>
              <w:spacing w:after="60"/>
              <w:ind w:left="-121"/>
              <w:jc w:val="center"/>
              <w:rPr>
                <w:rFonts w:ascii="Times New Roman" w:hAnsi="Times New Roman" w:cs="Times New Roman"/>
                <w:b/>
                <w:bCs/>
                <w:sz w:val="24"/>
                <w:szCs w:val="24"/>
              </w:rPr>
            </w:pPr>
            <w:r w:rsidRPr="0043196E">
              <w:rPr>
                <w:rFonts w:ascii="Times New Roman" w:hAnsi="Times New Roman" w:cs="Times New Roman"/>
                <w:b/>
                <w:sz w:val="24"/>
                <w:szCs w:val="24"/>
              </w:rPr>
              <w:t>Итоговая оценка (0-5)</w:t>
            </w:r>
          </w:p>
        </w:tc>
        <w:tc>
          <w:tcPr>
            <w:tcW w:w="2122" w:type="dxa"/>
            <w:vAlign w:val="center"/>
          </w:tcPr>
          <w:p w:rsidR="0043196E" w:rsidRPr="0043196E" w:rsidRDefault="0043196E" w:rsidP="00906887">
            <w:pPr>
              <w:spacing w:after="60"/>
              <w:ind w:left="-121"/>
              <w:jc w:val="center"/>
              <w:rPr>
                <w:rFonts w:ascii="Times New Roman" w:hAnsi="Times New Roman" w:cs="Times New Roman"/>
                <w:bCs/>
                <w:sz w:val="24"/>
                <w:szCs w:val="24"/>
              </w:rPr>
            </w:pPr>
            <w:r w:rsidRPr="0043196E">
              <w:rPr>
                <w:rFonts w:ascii="Times New Roman" w:hAnsi="Times New Roman" w:cs="Times New Roman"/>
                <w:bCs/>
                <w:sz w:val="24"/>
                <w:szCs w:val="24"/>
              </w:rPr>
              <w:t>0</w:t>
            </w:r>
          </w:p>
        </w:tc>
        <w:tc>
          <w:tcPr>
            <w:tcW w:w="2976" w:type="dxa"/>
            <w:vAlign w:val="center"/>
          </w:tcPr>
          <w:p w:rsidR="0043196E" w:rsidRPr="0043196E" w:rsidRDefault="0043196E" w:rsidP="00906887">
            <w:pPr>
              <w:spacing w:after="60"/>
              <w:ind w:left="-121"/>
              <w:jc w:val="center"/>
              <w:rPr>
                <w:rFonts w:ascii="Times New Roman" w:hAnsi="Times New Roman" w:cs="Times New Roman"/>
                <w:bCs/>
                <w:sz w:val="24"/>
                <w:szCs w:val="24"/>
              </w:rPr>
            </w:pPr>
            <m:oMathPara>
              <m:oMath>
                <m:r>
                  <w:rPr>
                    <w:rFonts w:ascii="Cambria Math" w:hAnsi="Cambria Math" w:cs="Times New Roman"/>
                    <w:sz w:val="24"/>
                    <w:szCs w:val="24"/>
                    <w:lang w:val="en-US"/>
                  </w:rPr>
                  <m:t>ИО=5*</m:t>
                </m:r>
                <m:sSup>
                  <m:sSupPr>
                    <m:ctrlPr>
                      <w:rPr>
                        <w:rFonts w:ascii="Cambria Math" w:eastAsia="Calibri" w:hAnsi="Cambria Math" w:cs="Times New Roman"/>
                        <w:i/>
                        <w:sz w:val="24"/>
                        <w:szCs w:val="24"/>
                        <w:lang w:val="en-US"/>
                      </w:rPr>
                    </m:ctrlPr>
                  </m:sSupPr>
                  <m:e>
                    <m:f>
                      <m:fPr>
                        <m:ctrlPr>
                          <w:rPr>
                            <w:rFonts w:ascii="Cambria Math" w:eastAsia="Calibri" w:hAnsi="Cambria Math" w:cs="Times New Roman"/>
                            <w:i/>
                            <w:sz w:val="24"/>
                            <w:szCs w:val="24"/>
                            <w:lang w:val="en-US"/>
                          </w:rPr>
                        </m:ctrlPr>
                      </m:fPr>
                      <m:num>
                        <m:r>
                          <w:rPr>
                            <w:rFonts w:ascii="Cambria Math" w:hAnsi="Cambria Math" w:cs="Times New Roman"/>
                            <w:sz w:val="24"/>
                            <w:szCs w:val="24"/>
                            <w:lang w:val="en-US"/>
                          </w:rPr>
                          <m:t>ПБ-0,45</m:t>
                        </m:r>
                      </m:num>
                      <m:den>
                        <m:r>
                          <w:rPr>
                            <w:rFonts w:ascii="Cambria Math" w:hAnsi="Cambria Math" w:cs="Times New Roman"/>
                            <w:sz w:val="24"/>
                            <w:szCs w:val="24"/>
                            <w:lang w:val="en-US"/>
                          </w:rPr>
                          <m:t>0,95-0,45</m:t>
                        </m:r>
                      </m:den>
                    </m:f>
                  </m:e>
                  <m:sup>
                    <m:r>
                      <w:rPr>
                        <w:rFonts w:ascii="Cambria Math" w:hAnsi="Cambria Math" w:cs="Times New Roman"/>
                        <w:sz w:val="24"/>
                        <w:szCs w:val="24"/>
                        <w:lang w:val="en-US"/>
                      </w:rPr>
                      <m:t>*</m:t>
                    </m:r>
                  </m:sup>
                </m:sSup>
              </m:oMath>
            </m:oMathPara>
          </w:p>
        </w:tc>
        <w:tc>
          <w:tcPr>
            <w:tcW w:w="1623" w:type="dxa"/>
            <w:shd w:val="clear" w:color="auto" w:fill="auto"/>
            <w:vAlign w:val="center"/>
          </w:tcPr>
          <w:p w:rsidR="0043196E" w:rsidRPr="0043196E" w:rsidRDefault="0043196E" w:rsidP="00906887">
            <w:pPr>
              <w:spacing w:after="60"/>
              <w:ind w:left="-121"/>
              <w:jc w:val="center"/>
              <w:rPr>
                <w:rFonts w:ascii="Times New Roman" w:hAnsi="Times New Roman" w:cs="Times New Roman"/>
                <w:sz w:val="24"/>
                <w:szCs w:val="24"/>
              </w:rPr>
            </w:pPr>
            <w:r w:rsidRPr="0043196E">
              <w:rPr>
                <w:rFonts w:ascii="Times New Roman" w:hAnsi="Times New Roman" w:cs="Times New Roman"/>
                <w:sz w:val="24"/>
                <w:szCs w:val="24"/>
              </w:rPr>
              <w:t>5</w:t>
            </w:r>
          </w:p>
        </w:tc>
      </w:tr>
    </w:tbl>
    <w:p w:rsidR="0043196E" w:rsidRDefault="0043196E" w:rsidP="0043196E">
      <w:pPr>
        <w:spacing w:before="120" w:after="120"/>
        <w:ind w:left="-567"/>
        <w:rPr>
          <w:rFonts w:ascii="Times New Roman" w:hAnsi="Times New Roman" w:cs="Times New Roman"/>
          <w:i/>
          <w:sz w:val="24"/>
          <w:szCs w:val="24"/>
        </w:rPr>
      </w:pPr>
      <w:r w:rsidRPr="0043196E">
        <w:rPr>
          <w:rFonts w:ascii="Times New Roman" w:hAnsi="Times New Roman" w:cs="Times New Roman"/>
          <w:i/>
          <w:sz w:val="24"/>
          <w:szCs w:val="24"/>
        </w:rPr>
        <w:t>*ИО – итоговая оценка; ПБ – первичный балл. Итоговая оценка округляется с точностью до одного знака после запятой.</w:t>
      </w:r>
    </w:p>
    <w:p w:rsidR="00041CF9" w:rsidRDefault="00041CF9" w:rsidP="0043196E">
      <w:pPr>
        <w:spacing w:before="120" w:after="120"/>
        <w:ind w:left="-567"/>
        <w:rPr>
          <w:rFonts w:ascii="Times New Roman" w:hAnsi="Times New Roman" w:cs="Times New Roman"/>
          <w:i/>
          <w:sz w:val="24"/>
          <w:szCs w:val="24"/>
        </w:rPr>
      </w:pPr>
    </w:p>
    <w:p w:rsidR="00041CF9" w:rsidRDefault="00041CF9" w:rsidP="0043196E">
      <w:pPr>
        <w:spacing w:before="120" w:after="120"/>
        <w:ind w:left="-567"/>
        <w:rPr>
          <w:rFonts w:ascii="Times New Roman" w:hAnsi="Times New Roman" w:cs="Times New Roman"/>
          <w:i/>
          <w:sz w:val="24"/>
          <w:szCs w:val="24"/>
        </w:rPr>
      </w:pPr>
    </w:p>
    <w:p w:rsidR="00041CF9" w:rsidRPr="0043196E" w:rsidRDefault="00041CF9" w:rsidP="0043196E">
      <w:pPr>
        <w:spacing w:before="120" w:after="120"/>
        <w:ind w:left="-567"/>
        <w:rPr>
          <w:rFonts w:ascii="Times New Roman" w:hAnsi="Times New Roman" w:cs="Times New Roman"/>
          <w:i/>
          <w:sz w:val="24"/>
          <w:szCs w:val="24"/>
        </w:rPr>
      </w:pPr>
    </w:p>
    <w:p w:rsidR="0043196E" w:rsidRPr="0043196E" w:rsidRDefault="00072562" w:rsidP="00072562">
      <w:pPr>
        <w:pStyle w:val="aa"/>
        <w:spacing w:before="120" w:after="120"/>
        <w:ind w:left="-567" w:hanging="709"/>
        <w:jc w:val="both"/>
      </w:pPr>
      <w:r>
        <w:t xml:space="preserve">11.3. </w:t>
      </w:r>
      <w:r w:rsidR="0086254C" w:rsidRPr="0086254C">
        <w:t xml:space="preserve">  </w:t>
      </w:r>
      <w:r w:rsidR="0043196E" w:rsidRPr="0043196E">
        <w:t>Полученная оценка также является мерой кредитного риска применительно к конкретной сделке, а в словесном выражении может быть интерпретирована как указано в таблице:</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4"/>
        <w:gridCol w:w="1287"/>
        <w:gridCol w:w="3260"/>
        <w:gridCol w:w="2779"/>
      </w:tblGrid>
      <w:tr w:rsidR="0043196E" w:rsidRPr="0043196E" w:rsidTr="00906887">
        <w:trPr>
          <w:jc w:val="center"/>
        </w:trPr>
        <w:tc>
          <w:tcPr>
            <w:tcW w:w="2734" w:type="dxa"/>
            <w:tcBorders>
              <w:bottom w:val="single" w:sz="4" w:space="0" w:color="auto"/>
            </w:tcBorders>
          </w:tcPr>
          <w:p w:rsidR="0043196E" w:rsidRPr="0043196E" w:rsidRDefault="0043196E" w:rsidP="00906887">
            <w:pPr>
              <w:spacing w:after="60"/>
              <w:ind w:left="-44"/>
              <w:jc w:val="center"/>
              <w:rPr>
                <w:rFonts w:ascii="Times New Roman" w:hAnsi="Times New Roman" w:cs="Times New Roman"/>
                <w:b/>
                <w:sz w:val="24"/>
                <w:szCs w:val="24"/>
              </w:rPr>
            </w:pPr>
            <w:r w:rsidRPr="0043196E">
              <w:rPr>
                <w:rFonts w:ascii="Times New Roman" w:hAnsi="Times New Roman" w:cs="Times New Roman"/>
                <w:b/>
                <w:sz w:val="24"/>
                <w:szCs w:val="24"/>
              </w:rPr>
              <w:t>Первичный балл (0-1)</w:t>
            </w:r>
          </w:p>
        </w:tc>
        <w:tc>
          <w:tcPr>
            <w:tcW w:w="1287" w:type="dxa"/>
            <w:tcBorders>
              <w:bottom w:val="single" w:sz="4" w:space="0" w:color="auto"/>
            </w:tcBorders>
            <w:vAlign w:val="center"/>
          </w:tcPr>
          <w:p w:rsidR="0043196E" w:rsidRPr="0043196E" w:rsidRDefault="0043196E" w:rsidP="00906887">
            <w:pPr>
              <w:spacing w:after="60"/>
              <w:ind w:left="-44"/>
              <w:jc w:val="center"/>
              <w:rPr>
                <w:rFonts w:ascii="Times New Roman" w:hAnsi="Times New Roman" w:cs="Times New Roman"/>
                <w:b/>
                <w:sz w:val="24"/>
                <w:szCs w:val="24"/>
              </w:rPr>
            </w:pPr>
            <w:r w:rsidRPr="0043196E">
              <w:rPr>
                <w:rFonts w:ascii="Times New Roman" w:hAnsi="Times New Roman" w:cs="Times New Roman"/>
                <w:b/>
                <w:sz w:val="24"/>
                <w:szCs w:val="24"/>
              </w:rPr>
              <w:t>Итоговая оценка (0-</w:t>
            </w:r>
            <w:r w:rsidRPr="0043196E">
              <w:rPr>
                <w:rFonts w:ascii="Times New Roman" w:hAnsi="Times New Roman" w:cs="Times New Roman"/>
                <w:b/>
                <w:sz w:val="24"/>
                <w:szCs w:val="24"/>
              </w:rPr>
              <w:lastRenderedPageBreak/>
              <w:t>5)</w:t>
            </w:r>
          </w:p>
        </w:tc>
        <w:tc>
          <w:tcPr>
            <w:tcW w:w="3260" w:type="dxa"/>
            <w:tcBorders>
              <w:bottom w:val="single" w:sz="4" w:space="0" w:color="auto"/>
            </w:tcBorders>
            <w:vAlign w:val="center"/>
          </w:tcPr>
          <w:p w:rsidR="0043196E" w:rsidRPr="0043196E" w:rsidRDefault="0043196E" w:rsidP="00906887">
            <w:pPr>
              <w:spacing w:after="60"/>
              <w:ind w:left="-44"/>
              <w:jc w:val="center"/>
              <w:rPr>
                <w:rFonts w:ascii="Times New Roman" w:hAnsi="Times New Roman" w:cs="Times New Roman"/>
                <w:b/>
                <w:sz w:val="24"/>
                <w:szCs w:val="24"/>
              </w:rPr>
            </w:pPr>
            <w:r w:rsidRPr="0043196E">
              <w:rPr>
                <w:rFonts w:ascii="Times New Roman" w:hAnsi="Times New Roman" w:cs="Times New Roman"/>
                <w:b/>
                <w:sz w:val="24"/>
                <w:szCs w:val="24"/>
              </w:rPr>
              <w:lastRenderedPageBreak/>
              <w:t>Соответствие Оценки уровню кредитного риска</w:t>
            </w:r>
          </w:p>
        </w:tc>
        <w:tc>
          <w:tcPr>
            <w:tcW w:w="2779" w:type="dxa"/>
            <w:tcBorders>
              <w:bottom w:val="single" w:sz="4" w:space="0" w:color="auto"/>
            </w:tcBorders>
            <w:shd w:val="clear" w:color="auto" w:fill="auto"/>
            <w:vAlign w:val="center"/>
          </w:tcPr>
          <w:p w:rsidR="0043196E" w:rsidRPr="0043196E" w:rsidRDefault="0043196E" w:rsidP="00906887">
            <w:pPr>
              <w:spacing w:after="60"/>
              <w:ind w:left="-44"/>
              <w:jc w:val="center"/>
              <w:rPr>
                <w:rFonts w:ascii="Times New Roman" w:hAnsi="Times New Roman" w:cs="Times New Roman"/>
                <w:b/>
                <w:sz w:val="24"/>
                <w:szCs w:val="24"/>
              </w:rPr>
            </w:pPr>
            <w:r w:rsidRPr="0043196E">
              <w:rPr>
                <w:rFonts w:ascii="Times New Roman" w:hAnsi="Times New Roman" w:cs="Times New Roman"/>
                <w:b/>
                <w:sz w:val="24"/>
                <w:szCs w:val="24"/>
              </w:rPr>
              <w:t>Интерпретация полученной Оценки</w:t>
            </w:r>
          </w:p>
        </w:tc>
      </w:tr>
      <w:tr w:rsidR="0043196E" w:rsidRPr="0043196E" w:rsidTr="00906887">
        <w:trPr>
          <w:trHeight w:val="270"/>
          <w:jc w:val="center"/>
        </w:trPr>
        <w:tc>
          <w:tcPr>
            <w:tcW w:w="2734" w:type="dxa"/>
            <w:tcBorders>
              <w:bottom w:val="single" w:sz="4" w:space="0" w:color="auto"/>
            </w:tcBorders>
            <w:shd w:val="clear" w:color="auto" w:fill="FF0000"/>
            <w:vAlign w:val="center"/>
          </w:tcPr>
          <w:p w:rsidR="0043196E" w:rsidRPr="0043196E" w:rsidRDefault="0043196E" w:rsidP="00906887">
            <w:pPr>
              <w:spacing w:after="60"/>
              <w:ind w:left="-44"/>
              <w:jc w:val="center"/>
              <w:rPr>
                <w:rFonts w:ascii="Times New Roman" w:hAnsi="Times New Roman" w:cs="Times New Roman"/>
                <w:b/>
                <w:bCs/>
                <w:sz w:val="24"/>
                <w:szCs w:val="24"/>
              </w:rPr>
            </w:pPr>
            <w:r w:rsidRPr="0043196E">
              <w:rPr>
                <w:rFonts w:ascii="Times New Roman" w:hAnsi="Times New Roman" w:cs="Times New Roman"/>
                <w:b/>
                <w:bCs/>
                <w:sz w:val="24"/>
                <w:szCs w:val="24"/>
              </w:rPr>
              <w:t>0-0,45</w:t>
            </w:r>
          </w:p>
        </w:tc>
        <w:tc>
          <w:tcPr>
            <w:tcW w:w="1287" w:type="dxa"/>
            <w:tcBorders>
              <w:bottom w:val="single" w:sz="4" w:space="0" w:color="auto"/>
            </w:tcBorders>
            <w:shd w:val="clear" w:color="auto" w:fill="FF0000"/>
            <w:vAlign w:val="center"/>
          </w:tcPr>
          <w:p w:rsidR="0043196E" w:rsidRPr="0043196E" w:rsidRDefault="0043196E" w:rsidP="00906887">
            <w:pPr>
              <w:spacing w:after="60"/>
              <w:ind w:left="-44"/>
              <w:jc w:val="center"/>
              <w:rPr>
                <w:rFonts w:ascii="Times New Roman" w:hAnsi="Times New Roman" w:cs="Times New Roman"/>
                <w:b/>
                <w:bCs/>
                <w:sz w:val="24"/>
                <w:szCs w:val="24"/>
              </w:rPr>
            </w:pPr>
            <w:r w:rsidRPr="0043196E">
              <w:rPr>
                <w:rFonts w:ascii="Times New Roman" w:hAnsi="Times New Roman" w:cs="Times New Roman"/>
                <w:b/>
                <w:bCs/>
                <w:sz w:val="24"/>
                <w:szCs w:val="24"/>
              </w:rPr>
              <w:t>0</w:t>
            </w:r>
          </w:p>
        </w:tc>
        <w:tc>
          <w:tcPr>
            <w:tcW w:w="3260" w:type="dxa"/>
            <w:tcBorders>
              <w:bottom w:val="single" w:sz="4" w:space="0" w:color="auto"/>
            </w:tcBorders>
            <w:shd w:val="clear" w:color="auto" w:fill="FF0000"/>
            <w:vAlign w:val="center"/>
          </w:tcPr>
          <w:p w:rsidR="0043196E" w:rsidRPr="0043196E" w:rsidRDefault="0043196E" w:rsidP="00906887">
            <w:pPr>
              <w:spacing w:after="60"/>
              <w:ind w:left="-44"/>
              <w:jc w:val="center"/>
              <w:rPr>
                <w:rFonts w:ascii="Times New Roman" w:hAnsi="Times New Roman" w:cs="Times New Roman"/>
                <w:bCs/>
                <w:sz w:val="24"/>
                <w:szCs w:val="24"/>
              </w:rPr>
            </w:pPr>
            <w:r w:rsidRPr="0043196E">
              <w:rPr>
                <w:rFonts w:ascii="Times New Roman" w:hAnsi="Times New Roman" w:cs="Times New Roman"/>
                <w:sz w:val="24"/>
                <w:szCs w:val="24"/>
              </w:rPr>
              <w:t>«Недопустимо высокий</w:t>
            </w:r>
            <w:r w:rsidRPr="0043196E">
              <w:rPr>
                <w:rFonts w:ascii="Times New Roman" w:hAnsi="Times New Roman" w:cs="Times New Roman"/>
                <w:bCs/>
                <w:sz w:val="24"/>
                <w:szCs w:val="24"/>
              </w:rPr>
              <w:t xml:space="preserve"> риск»</w:t>
            </w:r>
          </w:p>
        </w:tc>
        <w:tc>
          <w:tcPr>
            <w:tcW w:w="2779" w:type="dxa"/>
            <w:tcBorders>
              <w:bottom w:val="single" w:sz="4" w:space="0" w:color="auto"/>
            </w:tcBorders>
            <w:shd w:val="clear" w:color="auto" w:fill="FF0000"/>
          </w:tcPr>
          <w:p w:rsidR="0043196E" w:rsidRPr="0043196E" w:rsidRDefault="0043196E" w:rsidP="00906887">
            <w:pPr>
              <w:spacing w:after="60"/>
              <w:ind w:left="-44"/>
              <w:jc w:val="center"/>
              <w:rPr>
                <w:rFonts w:ascii="Times New Roman" w:hAnsi="Times New Roman" w:cs="Times New Roman"/>
                <w:sz w:val="24"/>
                <w:szCs w:val="24"/>
              </w:rPr>
            </w:pPr>
            <w:r w:rsidRPr="0043196E">
              <w:rPr>
                <w:rFonts w:ascii="Times New Roman" w:hAnsi="Times New Roman" w:cs="Times New Roman"/>
                <w:sz w:val="24"/>
                <w:szCs w:val="24"/>
              </w:rPr>
              <w:t>«Неприемлемо»</w:t>
            </w:r>
          </w:p>
          <w:p w:rsidR="0043196E" w:rsidRPr="0043196E" w:rsidRDefault="0043196E" w:rsidP="00906887">
            <w:pPr>
              <w:spacing w:after="60"/>
              <w:ind w:left="-44"/>
              <w:jc w:val="center"/>
              <w:rPr>
                <w:rFonts w:ascii="Times New Roman" w:hAnsi="Times New Roman" w:cs="Times New Roman"/>
                <w:sz w:val="24"/>
                <w:szCs w:val="24"/>
              </w:rPr>
            </w:pPr>
            <w:r w:rsidRPr="0043196E">
              <w:rPr>
                <w:rFonts w:ascii="Times New Roman" w:hAnsi="Times New Roman" w:cs="Times New Roman"/>
                <w:i/>
                <w:sz w:val="24"/>
                <w:szCs w:val="24"/>
              </w:rPr>
              <w:t>(предложение участника рекомендуется отклонить)</w:t>
            </w:r>
          </w:p>
        </w:tc>
      </w:tr>
      <w:tr w:rsidR="0043196E" w:rsidRPr="0043196E" w:rsidTr="00906887">
        <w:trPr>
          <w:trHeight w:val="303"/>
          <w:jc w:val="center"/>
        </w:trPr>
        <w:tc>
          <w:tcPr>
            <w:tcW w:w="2734" w:type="dxa"/>
            <w:tcBorders>
              <w:bottom w:val="single" w:sz="4" w:space="0" w:color="auto"/>
            </w:tcBorders>
            <w:shd w:val="clear" w:color="auto" w:fill="FFFF00"/>
            <w:vAlign w:val="center"/>
          </w:tcPr>
          <w:p w:rsidR="0043196E" w:rsidRPr="0043196E" w:rsidRDefault="0043196E" w:rsidP="00906887">
            <w:pPr>
              <w:spacing w:after="60"/>
              <w:ind w:left="-44"/>
              <w:jc w:val="center"/>
              <w:rPr>
                <w:rFonts w:ascii="Times New Roman" w:hAnsi="Times New Roman" w:cs="Times New Roman"/>
                <w:b/>
                <w:bCs/>
                <w:sz w:val="24"/>
                <w:szCs w:val="24"/>
              </w:rPr>
            </w:pPr>
            <w:r w:rsidRPr="0043196E">
              <w:rPr>
                <w:rFonts w:ascii="Times New Roman" w:hAnsi="Times New Roman" w:cs="Times New Roman"/>
                <w:b/>
                <w:bCs/>
                <w:sz w:val="24"/>
                <w:szCs w:val="24"/>
              </w:rPr>
              <w:t>0,45-0,55</w:t>
            </w:r>
          </w:p>
        </w:tc>
        <w:tc>
          <w:tcPr>
            <w:tcW w:w="1287" w:type="dxa"/>
            <w:tcBorders>
              <w:bottom w:val="single" w:sz="4" w:space="0" w:color="auto"/>
            </w:tcBorders>
            <w:shd w:val="clear" w:color="auto" w:fill="FFFF00"/>
            <w:vAlign w:val="center"/>
          </w:tcPr>
          <w:p w:rsidR="0043196E" w:rsidRPr="0043196E" w:rsidRDefault="0043196E" w:rsidP="00906887">
            <w:pPr>
              <w:spacing w:after="60"/>
              <w:ind w:left="-44"/>
              <w:jc w:val="center"/>
              <w:rPr>
                <w:rFonts w:ascii="Times New Roman" w:hAnsi="Times New Roman" w:cs="Times New Roman"/>
                <w:b/>
                <w:bCs/>
                <w:sz w:val="24"/>
                <w:szCs w:val="24"/>
              </w:rPr>
            </w:pPr>
            <w:r w:rsidRPr="0043196E">
              <w:rPr>
                <w:rFonts w:ascii="Times New Roman" w:hAnsi="Times New Roman" w:cs="Times New Roman"/>
                <w:b/>
                <w:bCs/>
                <w:sz w:val="24"/>
                <w:szCs w:val="24"/>
              </w:rPr>
              <w:t>0-1</w:t>
            </w:r>
          </w:p>
        </w:tc>
        <w:tc>
          <w:tcPr>
            <w:tcW w:w="3260" w:type="dxa"/>
            <w:tcBorders>
              <w:bottom w:val="single" w:sz="4" w:space="0" w:color="auto"/>
            </w:tcBorders>
            <w:shd w:val="clear" w:color="auto" w:fill="FFFF00"/>
            <w:vAlign w:val="center"/>
          </w:tcPr>
          <w:p w:rsidR="0043196E" w:rsidRPr="0043196E" w:rsidRDefault="0043196E" w:rsidP="00906887">
            <w:pPr>
              <w:spacing w:after="60"/>
              <w:ind w:left="-44"/>
              <w:jc w:val="center"/>
              <w:rPr>
                <w:rFonts w:ascii="Times New Roman" w:hAnsi="Times New Roman" w:cs="Times New Roman"/>
                <w:sz w:val="24"/>
                <w:szCs w:val="24"/>
              </w:rPr>
            </w:pPr>
            <w:r w:rsidRPr="0043196E">
              <w:rPr>
                <w:rFonts w:ascii="Times New Roman" w:hAnsi="Times New Roman" w:cs="Times New Roman"/>
                <w:sz w:val="24"/>
                <w:szCs w:val="24"/>
              </w:rPr>
              <w:t>«Очень высокий</w:t>
            </w:r>
            <w:r w:rsidRPr="0043196E">
              <w:rPr>
                <w:rFonts w:ascii="Times New Roman" w:hAnsi="Times New Roman" w:cs="Times New Roman"/>
                <w:bCs/>
                <w:sz w:val="24"/>
                <w:szCs w:val="24"/>
              </w:rPr>
              <w:t xml:space="preserve"> риск»</w:t>
            </w:r>
          </w:p>
        </w:tc>
        <w:tc>
          <w:tcPr>
            <w:tcW w:w="2779" w:type="dxa"/>
            <w:tcBorders>
              <w:bottom w:val="single" w:sz="4" w:space="0" w:color="auto"/>
            </w:tcBorders>
            <w:shd w:val="clear" w:color="auto" w:fill="FFFF00"/>
          </w:tcPr>
          <w:p w:rsidR="0043196E" w:rsidRPr="0043196E" w:rsidRDefault="0043196E" w:rsidP="00906887">
            <w:pPr>
              <w:spacing w:after="60"/>
              <w:ind w:left="-44"/>
              <w:jc w:val="center"/>
              <w:rPr>
                <w:rFonts w:ascii="Times New Roman" w:hAnsi="Times New Roman" w:cs="Times New Roman"/>
                <w:sz w:val="24"/>
                <w:szCs w:val="24"/>
              </w:rPr>
            </w:pPr>
            <w:r w:rsidRPr="0043196E">
              <w:rPr>
                <w:rFonts w:ascii="Times New Roman" w:hAnsi="Times New Roman" w:cs="Times New Roman"/>
                <w:sz w:val="24"/>
                <w:szCs w:val="24"/>
              </w:rPr>
              <w:t>«Минимально приемлемо»</w:t>
            </w:r>
          </w:p>
        </w:tc>
      </w:tr>
      <w:tr w:rsidR="0043196E" w:rsidRPr="0043196E" w:rsidTr="00906887">
        <w:trPr>
          <w:trHeight w:val="252"/>
          <w:jc w:val="center"/>
        </w:trPr>
        <w:tc>
          <w:tcPr>
            <w:tcW w:w="2734" w:type="dxa"/>
            <w:tcBorders>
              <w:bottom w:val="single" w:sz="4" w:space="0" w:color="auto"/>
            </w:tcBorders>
            <w:shd w:val="clear" w:color="auto" w:fill="FFFF00"/>
            <w:vAlign w:val="center"/>
          </w:tcPr>
          <w:p w:rsidR="0043196E" w:rsidRPr="0043196E" w:rsidRDefault="0043196E" w:rsidP="00906887">
            <w:pPr>
              <w:spacing w:after="60"/>
              <w:ind w:left="-44"/>
              <w:jc w:val="center"/>
              <w:rPr>
                <w:rFonts w:ascii="Times New Roman" w:hAnsi="Times New Roman" w:cs="Times New Roman"/>
                <w:b/>
                <w:bCs/>
                <w:sz w:val="24"/>
                <w:szCs w:val="24"/>
              </w:rPr>
            </w:pPr>
            <w:r w:rsidRPr="0043196E">
              <w:rPr>
                <w:rFonts w:ascii="Times New Roman" w:hAnsi="Times New Roman" w:cs="Times New Roman"/>
                <w:b/>
                <w:bCs/>
                <w:sz w:val="24"/>
                <w:szCs w:val="24"/>
              </w:rPr>
              <w:t>0,55-0,65</w:t>
            </w:r>
          </w:p>
        </w:tc>
        <w:tc>
          <w:tcPr>
            <w:tcW w:w="1287" w:type="dxa"/>
            <w:tcBorders>
              <w:bottom w:val="single" w:sz="4" w:space="0" w:color="auto"/>
            </w:tcBorders>
            <w:shd w:val="clear" w:color="auto" w:fill="FFFF00"/>
            <w:vAlign w:val="center"/>
          </w:tcPr>
          <w:p w:rsidR="0043196E" w:rsidRPr="0043196E" w:rsidRDefault="0043196E" w:rsidP="00906887">
            <w:pPr>
              <w:spacing w:after="60"/>
              <w:ind w:left="-44"/>
              <w:jc w:val="center"/>
              <w:rPr>
                <w:rFonts w:ascii="Times New Roman" w:hAnsi="Times New Roman" w:cs="Times New Roman"/>
                <w:b/>
                <w:bCs/>
                <w:sz w:val="24"/>
                <w:szCs w:val="24"/>
              </w:rPr>
            </w:pPr>
            <w:r w:rsidRPr="0043196E">
              <w:rPr>
                <w:rFonts w:ascii="Times New Roman" w:hAnsi="Times New Roman" w:cs="Times New Roman"/>
                <w:b/>
                <w:bCs/>
                <w:sz w:val="24"/>
                <w:szCs w:val="24"/>
              </w:rPr>
              <w:t>1-2</w:t>
            </w:r>
          </w:p>
        </w:tc>
        <w:tc>
          <w:tcPr>
            <w:tcW w:w="3260" w:type="dxa"/>
            <w:tcBorders>
              <w:bottom w:val="single" w:sz="4" w:space="0" w:color="auto"/>
            </w:tcBorders>
            <w:shd w:val="clear" w:color="auto" w:fill="FFFF00"/>
            <w:vAlign w:val="center"/>
          </w:tcPr>
          <w:p w:rsidR="0043196E" w:rsidRPr="0043196E" w:rsidRDefault="0043196E" w:rsidP="00906887">
            <w:pPr>
              <w:spacing w:after="60"/>
              <w:ind w:left="-44"/>
              <w:jc w:val="center"/>
              <w:rPr>
                <w:rFonts w:ascii="Times New Roman" w:hAnsi="Times New Roman" w:cs="Times New Roman"/>
                <w:bCs/>
                <w:sz w:val="24"/>
                <w:szCs w:val="24"/>
              </w:rPr>
            </w:pPr>
            <w:r w:rsidRPr="0043196E">
              <w:rPr>
                <w:rFonts w:ascii="Times New Roman" w:hAnsi="Times New Roman" w:cs="Times New Roman"/>
                <w:sz w:val="24"/>
                <w:szCs w:val="24"/>
              </w:rPr>
              <w:t>«</w:t>
            </w:r>
            <w:r w:rsidRPr="0043196E">
              <w:rPr>
                <w:rFonts w:ascii="Times New Roman" w:hAnsi="Times New Roman" w:cs="Times New Roman"/>
                <w:bCs/>
                <w:sz w:val="24"/>
                <w:szCs w:val="24"/>
              </w:rPr>
              <w:t>Повышенный риск»</w:t>
            </w:r>
          </w:p>
        </w:tc>
        <w:tc>
          <w:tcPr>
            <w:tcW w:w="2779" w:type="dxa"/>
            <w:tcBorders>
              <w:bottom w:val="single" w:sz="4" w:space="0" w:color="auto"/>
            </w:tcBorders>
            <w:shd w:val="clear" w:color="auto" w:fill="FFFF00"/>
          </w:tcPr>
          <w:p w:rsidR="0043196E" w:rsidRPr="0043196E" w:rsidRDefault="0043196E" w:rsidP="00906887">
            <w:pPr>
              <w:spacing w:after="60"/>
              <w:ind w:left="-44"/>
              <w:jc w:val="center"/>
              <w:rPr>
                <w:rFonts w:ascii="Times New Roman" w:hAnsi="Times New Roman" w:cs="Times New Roman"/>
                <w:sz w:val="24"/>
                <w:szCs w:val="24"/>
              </w:rPr>
            </w:pPr>
            <w:r w:rsidRPr="0043196E">
              <w:rPr>
                <w:rFonts w:ascii="Times New Roman" w:hAnsi="Times New Roman" w:cs="Times New Roman"/>
                <w:sz w:val="24"/>
                <w:szCs w:val="24"/>
              </w:rPr>
              <w:t>«Удовлетворительно»</w:t>
            </w:r>
          </w:p>
        </w:tc>
      </w:tr>
      <w:tr w:rsidR="0043196E" w:rsidRPr="0043196E" w:rsidTr="00906887">
        <w:trPr>
          <w:jc w:val="center"/>
        </w:trPr>
        <w:tc>
          <w:tcPr>
            <w:tcW w:w="2734" w:type="dxa"/>
            <w:shd w:val="clear" w:color="auto" w:fill="92D050"/>
            <w:vAlign w:val="center"/>
          </w:tcPr>
          <w:p w:rsidR="0043196E" w:rsidRPr="0043196E" w:rsidRDefault="0043196E" w:rsidP="00906887">
            <w:pPr>
              <w:spacing w:after="60"/>
              <w:ind w:left="-44"/>
              <w:jc w:val="center"/>
              <w:rPr>
                <w:rFonts w:ascii="Times New Roman" w:hAnsi="Times New Roman" w:cs="Times New Roman"/>
                <w:b/>
                <w:bCs/>
                <w:sz w:val="24"/>
                <w:szCs w:val="24"/>
              </w:rPr>
            </w:pPr>
            <w:r w:rsidRPr="0043196E">
              <w:rPr>
                <w:rFonts w:ascii="Times New Roman" w:hAnsi="Times New Roman" w:cs="Times New Roman"/>
                <w:b/>
                <w:bCs/>
                <w:sz w:val="24"/>
                <w:szCs w:val="24"/>
              </w:rPr>
              <w:t>0,65-0,75</w:t>
            </w:r>
          </w:p>
        </w:tc>
        <w:tc>
          <w:tcPr>
            <w:tcW w:w="1287" w:type="dxa"/>
            <w:shd w:val="clear" w:color="auto" w:fill="92D050"/>
            <w:vAlign w:val="center"/>
          </w:tcPr>
          <w:p w:rsidR="0043196E" w:rsidRPr="0043196E" w:rsidRDefault="0043196E" w:rsidP="00906887">
            <w:pPr>
              <w:spacing w:after="60"/>
              <w:ind w:left="-44"/>
              <w:jc w:val="center"/>
              <w:rPr>
                <w:rFonts w:ascii="Times New Roman" w:hAnsi="Times New Roman" w:cs="Times New Roman"/>
                <w:b/>
                <w:bCs/>
                <w:sz w:val="24"/>
                <w:szCs w:val="24"/>
              </w:rPr>
            </w:pPr>
            <w:r w:rsidRPr="0043196E">
              <w:rPr>
                <w:rFonts w:ascii="Times New Roman" w:hAnsi="Times New Roman" w:cs="Times New Roman"/>
                <w:b/>
                <w:bCs/>
                <w:sz w:val="24"/>
                <w:szCs w:val="24"/>
              </w:rPr>
              <w:t>2-3</w:t>
            </w:r>
          </w:p>
        </w:tc>
        <w:tc>
          <w:tcPr>
            <w:tcW w:w="3260" w:type="dxa"/>
            <w:shd w:val="clear" w:color="auto" w:fill="92D050"/>
            <w:vAlign w:val="center"/>
          </w:tcPr>
          <w:p w:rsidR="0043196E" w:rsidRPr="0043196E" w:rsidRDefault="0043196E" w:rsidP="00906887">
            <w:pPr>
              <w:spacing w:after="60"/>
              <w:ind w:left="-44"/>
              <w:jc w:val="center"/>
              <w:rPr>
                <w:rFonts w:ascii="Times New Roman" w:hAnsi="Times New Roman" w:cs="Times New Roman"/>
                <w:bCs/>
                <w:sz w:val="24"/>
                <w:szCs w:val="24"/>
              </w:rPr>
            </w:pPr>
            <w:r w:rsidRPr="0043196E">
              <w:rPr>
                <w:rFonts w:ascii="Times New Roman" w:hAnsi="Times New Roman" w:cs="Times New Roman"/>
                <w:bCs/>
                <w:sz w:val="24"/>
                <w:szCs w:val="24"/>
              </w:rPr>
              <w:t>«Вполне приемлемый риск</w:t>
            </w:r>
          </w:p>
        </w:tc>
        <w:tc>
          <w:tcPr>
            <w:tcW w:w="2779" w:type="dxa"/>
            <w:shd w:val="clear" w:color="auto" w:fill="92D050"/>
          </w:tcPr>
          <w:p w:rsidR="0043196E" w:rsidRPr="0043196E" w:rsidRDefault="0043196E" w:rsidP="00906887">
            <w:pPr>
              <w:spacing w:after="60"/>
              <w:ind w:left="-44"/>
              <w:jc w:val="center"/>
              <w:rPr>
                <w:rFonts w:ascii="Times New Roman" w:hAnsi="Times New Roman" w:cs="Times New Roman"/>
                <w:sz w:val="24"/>
                <w:szCs w:val="24"/>
              </w:rPr>
            </w:pPr>
            <w:r w:rsidRPr="0043196E">
              <w:rPr>
                <w:rFonts w:ascii="Times New Roman" w:hAnsi="Times New Roman" w:cs="Times New Roman"/>
                <w:sz w:val="24"/>
                <w:szCs w:val="24"/>
              </w:rPr>
              <w:t>«Хорошо»</w:t>
            </w:r>
          </w:p>
          <w:p w:rsidR="0043196E" w:rsidRPr="0043196E" w:rsidRDefault="0043196E" w:rsidP="00906887">
            <w:pPr>
              <w:spacing w:after="60"/>
              <w:ind w:left="-44"/>
              <w:jc w:val="center"/>
              <w:rPr>
                <w:rFonts w:ascii="Times New Roman" w:hAnsi="Times New Roman" w:cs="Times New Roman"/>
                <w:sz w:val="24"/>
                <w:szCs w:val="24"/>
              </w:rPr>
            </w:pPr>
            <w:r w:rsidRPr="0043196E">
              <w:rPr>
                <w:rFonts w:ascii="Times New Roman" w:hAnsi="Times New Roman" w:cs="Times New Roman"/>
                <w:i/>
                <w:sz w:val="24"/>
                <w:szCs w:val="24"/>
              </w:rPr>
              <w:t>(финансовое состояние соответствует требованиям закупочной документации)</w:t>
            </w:r>
          </w:p>
        </w:tc>
      </w:tr>
      <w:tr w:rsidR="0043196E" w:rsidRPr="0043196E" w:rsidTr="00906887">
        <w:trPr>
          <w:trHeight w:val="155"/>
          <w:jc w:val="center"/>
        </w:trPr>
        <w:tc>
          <w:tcPr>
            <w:tcW w:w="2734" w:type="dxa"/>
            <w:shd w:val="clear" w:color="auto" w:fill="92D050"/>
            <w:vAlign w:val="center"/>
          </w:tcPr>
          <w:p w:rsidR="0043196E" w:rsidRPr="0043196E" w:rsidRDefault="0043196E" w:rsidP="00906887">
            <w:pPr>
              <w:spacing w:after="60"/>
              <w:ind w:left="-44"/>
              <w:jc w:val="center"/>
              <w:rPr>
                <w:rFonts w:ascii="Times New Roman" w:hAnsi="Times New Roman" w:cs="Times New Roman"/>
                <w:b/>
                <w:bCs/>
                <w:sz w:val="24"/>
                <w:szCs w:val="24"/>
              </w:rPr>
            </w:pPr>
            <w:r w:rsidRPr="0043196E">
              <w:rPr>
                <w:rFonts w:ascii="Times New Roman" w:hAnsi="Times New Roman" w:cs="Times New Roman"/>
                <w:b/>
                <w:bCs/>
                <w:sz w:val="24"/>
                <w:szCs w:val="24"/>
              </w:rPr>
              <w:t>0,75-0,85</w:t>
            </w:r>
          </w:p>
        </w:tc>
        <w:tc>
          <w:tcPr>
            <w:tcW w:w="1287" w:type="dxa"/>
            <w:shd w:val="clear" w:color="auto" w:fill="92D050"/>
            <w:vAlign w:val="center"/>
          </w:tcPr>
          <w:p w:rsidR="0043196E" w:rsidRPr="0043196E" w:rsidRDefault="0043196E" w:rsidP="00906887">
            <w:pPr>
              <w:spacing w:after="60"/>
              <w:ind w:left="-44"/>
              <w:jc w:val="center"/>
              <w:rPr>
                <w:rFonts w:ascii="Times New Roman" w:hAnsi="Times New Roman" w:cs="Times New Roman"/>
                <w:b/>
                <w:bCs/>
                <w:sz w:val="24"/>
                <w:szCs w:val="24"/>
              </w:rPr>
            </w:pPr>
            <w:r w:rsidRPr="0043196E">
              <w:rPr>
                <w:rFonts w:ascii="Times New Roman" w:hAnsi="Times New Roman" w:cs="Times New Roman"/>
                <w:b/>
                <w:bCs/>
                <w:sz w:val="24"/>
                <w:szCs w:val="24"/>
              </w:rPr>
              <w:t>3-4</w:t>
            </w:r>
          </w:p>
        </w:tc>
        <w:tc>
          <w:tcPr>
            <w:tcW w:w="3260" w:type="dxa"/>
            <w:shd w:val="clear" w:color="auto" w:fill="92D050"/>
            <w:vAlign w:val="center"/>
          </w:tcPr>
          <w:p w:rsidR="0043196E" w:rsidRPr="0043196E" w:rsidRDefault="0043196E" w:rsidP="00906887">
            <w:pPr>
              <w:spacing w:after="60"/>
              <w:ind w:left="-44"/>
              <w:jc w:val="center"/>
              <w:rPr>
                <w:rFonts w:ascii="Times New Roman" w:hAnsi="Times New Roman" w:cs="Times New Roman"/>
                <w:bCs/>
                <w:sz w:val="24"/>
                <w:szCs w:val="24"/>
              </w:rPr>
            </w:pPr>
            <w:r w:rsidRPr="0043196E">
              <w:rPr>
                <w:rFonts w:ascii="Times New Roman" w:hAnsi="Times New Roman" w:cs="Times New Roman"/>
                <w:bCs/>
                <w:sz w:val="24"/>
                <w:szCs w:val="24"/>
              </w:rPr>
              <w:t>«Приемлемый риск»</w:t>
            </w:r>
          </w:p>
        </w:tc>
        <w:tc>
          <w:tcPr>
            <w:tcW w:w="2779" w:type="dxa"/>
            <w:shd w:val="clear" w:color="auto" w:fill="92D050"/>
          </w:tcPr>
          <w:p w:rsidR="0043196E" w:rsidRPr="0043196E" w:rsidRDefault="0043196E" w:rsidP="00906887">
            <w:pPr>
              <w:spacing w:after="60"/>
              <w:ind w:left="-44"/>
              <w:jc w:val="center"/>
              <w:rPr>
                <w:rFonts w:ascii="Times New Roman" w:hAnsi="Times New Roman" w:cs="Times New Roman"/>
                <w:sz w:val="24"/>
                <w:szCs w:val="24"/>
              </w:rPr>
            </w:pPr>
            <w:r w:rsidRPr="0043196E">
              <w:rPr>
                <w:rFonts w:ascii="Times New Roman" w:hAnsi="Times New Roman" w:cs="Times New Roman"/>
                <w:sz w:val="24"/>
                <w:szCs w:val="24"/>
              </w:rPr>
              <w:t>«Очень хорошо»</w:t>
            </w:r>
          </w:p>
        </w:tc>
      </w:tr>
      <w:tr w:rsidR="0043196E" w:rsidRPr="0043196E" w:rsidTr="00906887">
        <w:trPr>
          <w:jc w:val="center"/>
        </w:trPr>
        <w:tc>
          <w:tcPr>
            <w:tcW w:w="2734" w:type="dxa"/>
            <w:shd w:val="clear" w:color="auto" w:fill="92D050"/>
            <w:vAlign w:val="center"/>
          </w:tcPr>
          <w:p w:rsidR="0043196E" w:rsidRPr="0043196E" w:rsidRDefault="0043196E" w:rsidP="00906887">
            <w:pPr>
              <w:spacing w:after="60"/>
              <w:ind w:left="-121"/>
              <w:jc w:val="center"/>
              <w:rPr>
                <w:rFonts w:ascii="Times New Roman" w:hAnsi="Times New Roman" w:cs="Times New Roman"/>
                <w:b/>
                <w:bCs/>
                <w:sz w:val="24"/>
                <w:szCs w:val="24"/>
              </w:rPr>
            </w:pPr>
            <w:r w:rsidRPr="0043196E">
              <w:rPr>
                <w:rFonts w:ascii="Times New Roman" w:hAnsi="Times New Roman" w:cs="Times New Roman"/>
                <w:b/>
                <w:bCs/>
                <w:sz w:val="24"/>
                <w:szCs w:val="24"/>
              </w:rPr>
              <w:t>0,85-1</w:t>
            </w:r>
          </w:p>
        </w:tc>
        <w:tc>
          <w:tcPr>
            <w:tcW w:w="1287" w:type="dxa"/>
            <w:shd w:val="clear" w:color="auto" w:fill="92D050"/>
            <w:vAlign w:val="center"/>
          </w:tcPr>
          <w:p w:rsidR="0043196E" w:rsidRPr="0043196E" w:rsidRDefault="0043196E" w:rsidP="00906887">
            <w:pPr>
              <w:keepNext/>
              <w:spacing w:after="60"/>
              <w:ind w:left="-121"/>
              <w:jc w:val="center"/>
              <w:rPr>
                <w:rFonts w:ascii="Times New Roman" w:hAnsi="Times New Roman" w:cs="Times New Roman"/>
                <w:b/>
                <w:bCs/>
                <w:sz w:val="24"/>
                <w:szCs w:val="24"/>
              </w:rPr>
            </w:pPr>
            <w:r w:rsidRPr="0043196E">
              <w:rPr>
                <w:rFonts w:ascii="Times New Roman" w:hAnsi="Times New Roman" w:cs="Times New Roman"/>
                <w:b/>
                <w:bCs/>
                <w:sz w:val="24"/>
                <w:szCs w:val="24"/>
              </w:rPr>
              <w:t>4-5</w:t>
            </w:r>
          </w:p>
        </w:tc>
        <w:tc>
          <w:tcPr>
            <w:tcW w:w="3260" w:type="dxa"/>
            <w:shd w:val="clear" w:color="auto" w:fill="92D050"/>
            <w:vAlign w:val="center"/>
          </w:tcPr>
          <w:p w:rsidR="0043196E" w:rsidRPr="0043196E" w:rsidRDefault="0043196E" w:rsidP="00906887">
            <w:pPr>
              <w:keepNext/>
              <w:spacing w:after="60"/>
              <w:ind w:left="-121"/>
              <w:jc w:val="center"/>
              <w:rPr>
                <w:rFonts w:ascii="Times New Roman" w:hAnsi="Times New Roman" w:cs="Times New Roman"/>
                <w:bCs/>
                <w:sz w:val="24"/>
                <w:szCs w:val="24"/>
              </w:rPr>
            </w:pPr>
            <w:r w:rsidRPr="0043196E">
              <w:rPr>
                <w:rFonts w:ascii="Times New Roman" w:hAnsi="Times New Roman" w:cs="Times New Roman"/>
                <w:bCs/>
                <w:sz w:val="24"/>
                <w:szCs w:val="24"/>
              </w:rPr>
              <w:t>«Минимальный риск»</w:t>
            </w:r>
          </w:p>
        </w:tc>
        <w:tc>
          <w:tcPr>
            <w:tcW w:w="2779" w:type="dxa"/>
            <w:shd w:val="clear" w:color="auto" w:fill="92D050"/>
          </w:tcPr>
          <w:p w:rsidR="0043196E" w:rsidRPr="0043196E" w:rsidRDefault="0043196E" w:rsidP="00906887">
            <w:pPr>
              <w:keepNext/>
              <w:spacing w:after="60"/>
              <w:ind w:left="-121"/>
              <w:jc w:val="center"/>
              <w:rPr>
                <w:rFonts w:ascii="Times New Roman" w:hAnsi="Times New Roman" w:cs="Times New Roman"/>
                <w:sz w:val="24"/>
                <w:szCs w:val="24"/>
              </w:rPr>
            </w:pPr>
            <w:r w:rsidRPr="0043196E">
              <w:rPr>
                <w:rFonts w:ascii="Times New Roman" w:hAnsi="Times New Roman" w:cs="Times New Roman"/>
                <w:sz w:val="24"/>
                <w:szCs w:val="24"/>
              </w:rPr>
              <w:t>«Отлично»</w:t>
            </w:r>
          </w:p>
        </w:tc>
      </w:tr>
    </w:tbl>
    <w:p w:rsidR="0043196E" w:rsidRPr="0043196E" w:rsidRDefault="00072562" w:rsidP="00072562">
      <w:pPr>
        <w:pStyle w:val="aa"/>
        <w:spacing w:before="120" w:after="120"/>
        <w:ind w:left="-567" w:hanging="709"/>
        <w:jc w:val="both"/>
      </w:pPr>
      <w:r>
        <w:t xml:space="preserve">11.4.  </w:t>
      </w:r>
      <w:r w:rsidR="0043196E" w:rsidRPr="0043196E">
        <w:t>Подробный порядок применения положений Методики Экспертами на оценочной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«Финэкспертиза.xls» и приложения 3 к Методике «Алгоритм действия Эксперта при подготовке заключения по направлению финансово-экономической экспертизы с использованием шаблона «Финэкспертиза_МСП.xls».</w:t>
      </w:r>
    </w:p>
    <w:p w:rsidR="0043196E" w:rsidRPr="0043196E" w:rsidRDefault="00072562" w:rsidP="00072562">
      <w:pPr>
        <w:pStyle w:val="2"/>
      </w:pPr>
      <w:bookmarkStart w:id="79" w:name="_Toc519591612"/>
      <w:r>
        <w:t xml:space="preserve">12. </w:t>
      </w:r>
      <w:r w:rsidR="0043196E" w:rsidRPr="0043196E">
        <w:t>Лист регистрации изменений</w:t>
      </w:r>
      <w:bookmarkEnd w:id="79"/>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1"/>
        <w:gridCol w:w="1428"/>
        <w:gridCol w:w="4919"/>
        <w:gridCol w:w="2105"/>
      </w:tblGrid>
      <w:tr w:rsidR="0043196E" w:rsidRPr="0043196E" w:rsidTr="00906887">
        <w:tc>
          <w:tcPr>
            <w:tcW w:w="1471" w:type="dxa"/>
            <w:shd w:val="clear" w:color="auto" w:fill="D9D9D9"/>
            <w:vAlign w:val="center"/>
          </w:tcPr>
          <w:p w:rsidR="0043196E" w:rsidRPr="0043196E" w:rsidRDefault="0043196E" w:rsidP="00906887">
            <w:pPr>
              <w:spacing w:before="120" w:after="120"/>
              <w:ind w:left="-108"/>
              <w:jc w:val="center"/>
              <w:rPr>
                <w:rFonts w:ascii="Times New Roman" w:hAnsi="Times New Roman" w:cs="Times New Roman"/>
                <w:b/>
                <w:sz w:val="24"/>
                <w:szCs w:val="24"/>
              </w:rPr>
            </w:pPr>
            <w:r w:rsidRPr="0043196E">
              <w:rPr>
                <w:rFonts w:ascii="Times New Roman" w:hAnsi="Times New Roman" w:cs="Times New Roman"/>
                <w:b/>
                <w:sz w:val="24"/>
                <w:szCs w:val="24"/>
              </w:rPr>
              <w:t>Версия</w:t>
            </w:r>
          </w:p>
        </w:tc>
        <w:tc>
          <w:tcPr>
            <w:tcW w:w="1428" w:type="dxa"/>
            <w:shd w:val="clear" w:color="auto" w:fill="D9D9D9"/>
            <w:vAlign w:val="center"/>
          </w:tcPr>
          <w:p w:rsidR="0043196E" w:rsidRPr="0043196E" w:rsidRDefault="0043196E" w:rsidP="00906887">
            <w:pPr>
              <w:spacing w:before="120" w:after="120"/>
              <w:ind w:left="-108"/>
              <w:jc w:val="center"/>
              <w:rPr>
                <w:rFonts w:ascii="Times New Roman" w:hAnsi="Times New Roman" w:cs="Times New Roman"/>
                <w:b/>
                <w:sz w:val="24"/>
                <w:szCs w:val="24"/>
              </w:rPr>
            </w:pPr>
            <w:r w:rsidRPr="0043196E">
              <w:rPr>
                <w:rFonts w:ascii="Times New Roman" w:hAnsi="Times New Roman" w:cs="Times New Roman"/>
                <w:b/>
                <w:sz w:val="24"/>
                <w:szCs w:val="24"/>
              </w:rPr>
              <w:t>Дата</w:t>
            </w:r>
          </w:p>
        </w:tc>
        <w:tc>
          <w:tcPr>
            <w:tcW w:w="4919" w:type="dxa"/>
            <w:shd w:val="clear" w:color="auto" w:fill="D9D9D9"/>
            <w:vAlign w:val="center"/>
          </w:tcPr>
          <w:p w:rsidR="0043196E" w:rsidRPr="0043196E" w:rsidRDefault="0043196E" w:rsidP="00906887">
            <w:pPr>
              <w:spacing w:before="120" w:after="120"/>
              <w:ind w:left="-108"/>
              <w:jc w:val="center"/>
              <w:rPr>
                <w:rFonts w:ascii="Times New Roman" w:hAnsi="Times New Roman" w:cs="Times New Roman"/>
                <w:b/>
                <w:sz w:val="24"/>
                <w:szCs w:val="24"/>
              </w:rPr>
            </w:pPr>
            <w:r w:rsidRPr="0043196E">
              <w:rPr>
                <w:rFonts w:ascii="Times New Roman" w:hAnsi="Times New Roman" w:cs="Times New Roman"/>
                <w:b/>
                <w:sz w:val="24"/>
                <w:szCs w:val="24"/>
              </w:rPr>
              <w:t>Должность Ответственного за разработку ВНД</w:t>
            </w:r>
          </w:p>
        </w:tc>
        <w:tc>
          <w:tcPr>
            <w:tcW w:w="2105" w:type="dxa"/>
            <w:shd w:val="clear" w:color="auto" w:fill="D9D9D9"/>
          </w:tcPr>
          <w:p w:rsidR="0043196E" w:rsidRPr="0043196E" w:rsidRDefault="0043196E" w:rsidP="00906887">
            <w:pPr>
              <w:spacing w:before="120" w:after="120"/>
              <w:ind w:left="-108"/>
              <w:jc w:val="center"/>
              <w:rPr>
                <w:rFonts w:ascii="Times New Roman" w:hAnsi="Times New Roman" w:cs="Times New Roman"/>
                <w:b/>
                <w:sz w:val="24"/>
                <w:szCs w:val="24"/>
              </w:rPr>
            </w:pPr>
            <w:r w:rsidRPr="0043196E">
              <w:rPr>
                <w:rFonts w:ascii="Times New Roman" w:hAnsi="Times New Roman" w:cs="Times New Roman"/>
                <w:b/>
                <w:sz w:val="24"/>
                <w:szCs w:val="24"/>
              </w:rPr>
              <w:t>ФИО Ответственного за разработку ВНД</w:t>
            </w:r>
          </w:p>
        </w:tc>
      </w:tr>
      <w:tr w:rsidR="0043196E" w:rsidRPr="0043196E" w:rsidTr="00906887">
        <w:tc>
          <w:tcPr>
            <w:tcW w:w="1471" w:type="dxa"/>
            <w:shd w:val="clear" w:color="auto" w:fill="auto"/>
          </w:tcPr>
          <w:p w:rsidR="0043196E" w:rsidRPr="0043196E" w:rsidRDefault="0043196E" w:rsidP="00906887">
            <w:pPr>
              <w:spacing w:before="120" w:after="120"/>
              <w:ind w:left="-108"/>
              <w:rPr>
                <w:rFonts w:ascii="Times New Roman" w:hAnsi="Times New Roman" w:cs="Times New Roman"/>
                <w:sz w:val="24"/>
                <w:szCs w:val="24"/>
              </w:rPr>
            </w:pPr>
            <w:r w:rsidRPr="0043196E">
              <w:rPr>
                <w:rFonts w:ascii="Times New Roman" w:hAnsi="Times New Roman" w:cs="Times New Roman"/>
                <w:sz w:val="24"/>
                <w:szCs w:val="24"/>
              </w:rPr>
              <w:t>1.</w:t>
            </w:r>
          </w:p>
        </w:tc>
        <w:tc>
          <w:tcPr>
            <w:tcW w:w="1428" w:type="dxa"/>
            <w:shd w:val="clear" w:color="auto" w:fill="auto"/>
          </w:tcPr>
          <w:p w:rsidR="0043196E" w:rsidRPr="0043196E" w:rsidRDefault="0043196E" w:rsidP="00906887">
            <w:pPr>
              <w:spacing w:before="120" w:after="120"/>
              <w:ind w:left="-108"/>
              <w:rPr>
                <w:rFonts w:ascii="Times New Roman" w:hAnsi="Times New Roman" w:cs="Times New Roman"/>
                <w:sz w:val="24"/>
                <w:szCs w:val="24"/>
              </w:rPr>
            </w:pPr>
            <w:r w:rsidRPr="0043196E">
              <w:rPr>
                <w:rFonts w:ascii="Times New Roman" w:hAnsi="Times New Roman" w:cs="Times New Roman"/>
                <w:sz w:val="24"/>
                <w:szCs w:val="24"/>
              </w:rPr>
              <w:t>21.04.2014</w:t>
            </w:r>
          </w:p>
        </w:tc>
        <w:tc>
          <w:tcPr>
            <w:tcW w:w="4919" w:type="dxa"/>
            <w:shd w:val="clear" w:color="auto" w:fill="auto"/>
          </w:tcPr>
          <w:p w:rsidR="0043196E" w:rsidRPr="0043196E" w:rsidRDefault="0043196E" w:rsidP="00906887">
            <w:pPr>
              <w:spacing w:before="120" w:after="120"/>
              <w:ind w:left="-108"/>
              <w:rPr>
                <w:rFonts w:ascii="Times New Roman" w:hAnsi="Times New Roman" w:cs="Times New Roman"/>
                <w:sz w:val="24"/>
                <w:szCs w:val="24"/>
              </w:rPr>
            </w:pPr>
            <w:r w:rsidRPr="0043196E">
              <w:rPr>
                <w:rFonts w:ascii="Times New Roman" w:hAnsi="Times New Roman" w:cs="Times New Roman"/>
                <w:sz w:val="24"/>
                <w:szCs w:val="24"/>
              </w:rPr>
              <w:t>Начальник  департамента экономики и финансов, Департамент экономики и финансов</w:t>
            </w:r>
          </w:p>
        </w:tc>
        <w:tc>
          <w:tcPr>
            <w:tcW w:w="2105" w:type="dxa"/>
          </w:tcPr>
          <w:p w:rsidR="0043196E" w:rsidRPr="0043196E" w:rsidRDefault="0043196E" w:rsidP="00906887">
            <w:pPr>
              <w:spacing w:before="120" w:after="120"/>
              <w:ind w:left="-108"/>
              <w:rPr>
                <w:rFonts w:ascii="Times New Roman" w:hAnsi="Times New Roman" w:cs="Times New Roman"/>
                <w:sz w:val="24"/>
                <w:szCs w:val="24"/>
              </w:rPr>
            </w:pPr>
            <w:r w:rsidRPr="0043196E">
              <w:rPr>
                <w:rFonts w:ascii="Times New Roman" w:hAnsi="Times New Roman" w:cs="Times New Roman"/>
                <w:sz w:val="24"/>
                <w:szCs w:val="24"/>
              </w:rPr>
              <w:t>Сергеева М.В.</w:t>
            </w:r>
          </w:p>
        </w:tc>
      </w:tr>
      <w:tr w:rsidR="0043196E" w:rsidRPr="0043196E" w:rsidTr="00906887">
        <w:tc>
          <w:tcPr>
            <w:tcW w:w="1471" w:type="dxa"/>
            <w:shd w:val="clear" w:color="auto" w:fill="auto"/>
          </w:tcPr>
          <w:p w:rsidR="0043196E" w:rsidRPr="0043196E" w:rsidRDefault="0043196E" w:rsidP="00906887">
            <w:pPr>
              <w:spacing w:before="120" w:after="120"/>
              <w:ind w:left="-108"/>
              <w:rPr>
                <w:rFonts w:ascii="Times New Roman" w:hAnsi="Times New Roman" w:cs="Times New Roman"/>
                <w:sz w:val="24"/>
                <w:szCs w:val="24"/>
              </w:rPr>
            </w:pPr>
            <w:r w:rsidRPr="0043196E">
              <w:rPr>
                <w:rFonts w:ascii="Times New Roman" w:hAnsi="Times New Roman" w:cs="Times New Roman"/>
                <w:sz w:val="24"/>
                <w:szCs w:val="24"/>
              </w:rPr>
              <w:t>2.</w:t>
            </w:r>
          </w:p>
        </w:tc>
        <w:tc>
          <w:tcPr>
            <w:tcW w:w="1428" w:type="dxa"/>
            <w:shd w:val="clear" w:color="auto" w:fill="auto"/>
          </w:tcPr>
          <w:p w:rsidR="0043196E" w:rsidRPr="0043196E" w:rsidRDefault="0043196E" w:rsidP="00906887">
            <w:pPr>
              <w:spacing w:before="120" w:after="120"/>
              <w:ind w:left="-108"/>
              <w:rPr>
                <w:rFonts w:ascii="Times New Roman" w:hAnsi="Times New Roman" w:cs="Times New Roman"/>
                <w:sz w:val="24"/>
                <w:szCs w:val="24"/>
              </w:rPr>
            </w:pPr>
            <w:r w:rsidRPr="0043196E">
              <w:rPr>
                <w:rFonts w:ascii="Times New Roman" w:hAnsi="Times New Roman" w:cs="Times New Roman"/>
                <w:sz w:val="24"/>
                <w:szCs w:val="24"/>
              </w:rPr>
              <w:t>20.07.2018</w:t>
            </w:r>
          </w:p>
        </w:tc>
        <w:tc>
          <w:tcPr>
            <w:tcW w:w="4919" w:type="dxa"/>
            <w:shd w:val="clear" w:color="auto" w:fill="auto"/>
          </w:tcPr>
          <w:p w:rsidR="0043196E" w:rsidRPr="0043196E" w:rsidRDefault="0043196E" w:rsidP="00906887">
            <w:pPr>
              <w:spacing w:before="120" w:after="120"/>
              <w:ind w:left="-108"/>
              <w:rPr>
                <w:rFonts w:ascii="Times New Roman" w:hAnsi="Times New Roman" w:cs="Times New Roman"/>
                <w:sz w:val="24"/>
                <w:szCs w:val="24"/>
              </w:rPr>
            </w:pPr>
            <w:r w:rsidRPr="0043196E">
              <w:rPr>
                <w:rFonts w:ascii="Times New Roman" w:hAnsi="Times New Roman" w:cs="Times New Roman"/>
                <w:sz w:val="24"/>
                <w:szCs w:val="24"/>
              </w:rPr>
              <w:t>Начальник планово-экономического отдела, Управление экономики и финансов</w:t>
            </w:r>
          </w:p>
        </w:tc>
        <w:tc>
          <w:tcPr>
            <w:tcW w:w="2105" w:type="dxa"/>
          </w:tcPr>
          <w:p w:rsidR="0043196E" w:rsidRPr="0043196E" w:rsidRDefault="0043196E" w:rsidP="00906887">
            <w:pPr>
              <w:spacing w:before="120" w:after="120"/>
              <w:ind w:left="-108"/>
              <w:rPr>
                <w:rFonts w:ascii="Times New Roman" w:hAnsi="Times New Roman" w:cs="Times New Roman"/>
                <w:sz w:val="24"/>
                <w:szCs w:val="24"/>
              </w:rPr>
            </w:pPr>
            <w:r w:rsidRPr="0043196E">
              <w:rPr>
                <w:rFonts w:ascii="Times New Roman" w:hAnsi="Times New Roman" w:cs="Times New Roman"/>
                <w:sz w:val="24"/>
                <w:szCs w:val="24"/>
              </w:rPr>
              <w:t>Алибекова С.В.</w:t>
            </w:r>
          </w:p>
        </w:tc>
      </w:tr>
      <w:tr w:rsidR="0043196E" w:rsidRPr="0043196E" w:rsidTr="00906887">
        <w:tc>
          <w:tcPr>
            <w:tcW w:w="1471" w:type="dxa"/>
            <w:shd w:val="clear" w:color="auto" w:fill="auto"/>
          </w:tcPr>
          <w:p w:rsidR="0043196E" w:rsidRPr="0043196E" w:rsidRDefault="0043196E" w:rsidP="00906887">
            <w:pPr>
              <w:spacing w:before="120" w:after="120"/>
              <w:ind w:left="-108"/>
              <w:rPr>
                <w:rFonts w:ascii="Times New Roman" w:hAnsi="Times New Roman" w:cs="Times New Roman"/>
                <w:sz w:val="24"/>
                <w:szCs w:val="24"/>
              </w:rPr>
            </w:pPr>
            <w:r w:rsidRPr="0043196E">
              <w:rPr>
                <w:rFonts w:ascii="Times New Roman" w:hAnsi="Times New Roman" w:cs="Times New Roman"/>
                <w:sz w:val="24"/>
                <w:szCs w:val="24"/>
              </w:rPr>
              <w:t>3.</w:t>
            </w:r>
          </w:p>
        </w:tc>
        <w:tc>
          <w:tcPr>
            <w:tcW w:w="1428" w:type="dxa"/>
            <w:shd w:val="clear" w:color="auto" w:fill="auto"/>
          </w:tcPr>
          <w:p w:rsidR="0043196E" w:rsidRPr="0043196E" w:rsidRDefault="0043196E" w:rsidP="00906887">
            <w:pPr>
              <w:spacing w:before="120" w:after="120"/>
              <w:ind w:left="-108"/>
              <w:rPr>
                <w:rFonts w:ascii="Times New Roman" w:hAnsi="Times New Roman" w:cs="Times New Roman"/>
                <w:sz w:val="24"/>
                <w:szCs w:val="24"/>
              </w:rPr>
            </w:pPr>
          </w:p>
        </w:tc>
        <w:tc>
          <w:tcPr>
            <w:tcW w:w="4919" w:type="dxa"/>
            <w:shd w:val="clear" w:color="auto" w:fill="auto"/>
          </w:tcPr>
          <w:p w:rsidR="0043196E" w:rsidRPr="0043196E" w:rsidRDefault="0043196E" w:rsidP="00906887">
            <w:pPr>
              <w:spacing w:before="120" w:after="120"/>
              <w:ind w:left="-108"/>
              <w:rPr>
                <w:rFonts w:ascii="Times New Roman" w:hAnsi="Times New Roman" w:cs="Times New Roman"/>
                <w:sz w:val="24"/>
                <w:szCs w:val="24"/>
              </w:rPr>
            </w:pPr>
          </w:p>
        </w:tc>
        <w:tc>
          <w:tcPr>
            <w:tcW w:w="2105" w:type="dxa"/>
          </w:tcPr>
          <w:p w:rsidR="0043196E" w:rsidRPr="0043196E" w:rsidRDefault="0043196E" w:rsidP="00906887">
            <w:pPr>
              <w:spacing w:before="120" w:after="120"/>
              <w:ind w:left="-108"/>
              <w:rPr>
                <w:rFonts w:ascii="Times New Roman" w:hAnsi="Times New Roman" w:cs="Times New Roman"/>
                <w:sz w:val="24"/>
                <w:szCs w:val="24"/>
              </w:rPr>
            </w:pPr>
          </w:p>
        </w:tc>
      </w:tr>
    </w:tbl>
    <w:p w:rsidR="0043196E" w:rsidRPr="0043196E" w:rsidRDefault="0043196E" w:rsidP="0043196E">
      <w:pPr>
        <w:spacing w:before="120" w:after="120"/>
        <w:ind w:left="-567"/>
        <w:rPr>
          <w:rFonts w:ascii="Times New Roman" w:hAnsi="Times New Roman" w:cs="Times New Roman"/>
          <w:sz w:val="24"/>
          <w:szCs w:val="24"/>
        </w:rPr>
      </w:pPr>
    </w:p>
    <w:p w:rsidR="0043196E" w:rsidRPr="0043196E" w:rsidRDefault="00072562" w:rsidP="00072562">
      <w:pPr>
        <w:pStyle w:val="2"/>
      </w:pPr>
      <w:bookmarkStart w:id="80" w:name="_Toc519591613"/>
      <w:r>
        <w:t xml:space="preserve">13. </w:t>
      </w:r>
      <w:r w:rsidR="0043196E" w:rsidRPr="0043196E">
        <w:t>Права доступа к документу</w:t>
      </w:r>
      <w:bookmarkEnd w:id="80"/>
    </w:p>
    <w:p w:rsidR="0043196E" w:rsidRPr="0043196E" w:rsidRDefault="0043196E" w:rsidP="0043196E">
      <w:pPr>
        <w:pStyle w:val="aa"/>
        <w:ind w:left="-567"/>
      </w:pPr>
      <w:r w:rsidRPr="0043196E">
        <w:t>Не ограничены.</w:t>
      </w:r>
    </w:p>
    <w:p w:rsidR="0043196E" w:rsidRPr="0043196E" w:rsidRDefault="0043196E" w:rsidP="0043196E">
      <w:pPr>
        <w:rPr>
          <w:rFonts w:ascii="Times New Roman" w:hAnsi="Times New Roman" w:cs="Times New Roman"/>
          <w:sz w:val="24"/>
          <w:szCs w:val="24"/>
        </w:rPr>
      </w:pPr>
      <w:r w:rsidRPr="0043196E">
        <w:rPr>
          <w:rFonts w:ascii="Times New Roman" w:hAnsi="Times New Roman" w:cs="Times New Roman"/>
          <w:sz w:val="24"/>
          <w:szCs w:val="24"/>
        </w:rPr>
        <w:lastRenderedPageBreak/>
        <w:br w:type="page"/>
      </w:r>
    </w:p>
    <w:p w:rsidR="0043196E" w:rsidRPr="00072562" w:rsidRDefault="00072562" w:rsidP="00072562">
      <w:pPr>
        <w:pStyle w:val="2"/>
        <w:rPr>
          <w:rStyle w:val="10"/>
          <w:rFonts w:ascii="Times New Roman" w:eastAsiaTheme="minorHAnsi" w:hAnsi="Times New Roman" w:cs="Times New Roman"/>
          <w:b/>
          <w:sz w:val="24"/>
          <w:szCs w:val="24"/>
        </w:rPr>
      </w:pPr>
      <w:bookmarkStart w:id="81" w:name="_Toc326066023"/>
      <w:bookmarkStart w:id="82" w:name="_Toc326066293"/>
      <w:bookmarkStart w:id="83" w:name="_Toc326067324"/>
      <w:bookmarkStart w:id="84" w:name="_Toc516132533"/>
      <w:bookmarkStart w:id="85" w:name="_Toc314226192"/>
      <w:bookmarkStart w:id="86" w:name="_Toc322961188"/>
      <w:r>
        <w:rPr>
          <w:rStyle w:val="10"/>
          <w:rFonts w:ascii="Times New Roman" w:eastAsiaTheme="minorHAnsi" w:hAnsi="Times New Roman" w:cs="Times New Roman"/>
          <w:b/>
          <w:sz w:val="24"/>
          <w:szCs w:val="24"/>
        </w:rPr>
        <w:lastRenderedPageBreak/>
        <w:t xml:space="preserve">            </w:t>
      </w:r>
      <w:bookmarkStart w:id="87" w:name="_Toc519591614"/>
      <w:r w:rsidR="0043196E" w:rsidRPr="00072562">
        <w:rPr>
          <w:rStyle w:val="10"/>
          <w:rFonts w:ascii="Times New Roman" w:eastAsiaTheme="minorHAnsi" w:hAnsi="Times New Roman" w:cs="Times New Roman"/>
          <w:b/>
          <w:sz w:val="24"/>
          <w:szCs w:val="24"/>
        </w:rPr>
        <w:t>Приложение 1 Разграничение функциональных обязанностей по проведению финансово-экономической экспертизы</w:t>
      </w:r>
      <w:bookmarkEnd w:id="81"/>
      <w:bookmarkEnd w:id="82"/>
      <w:bookmarkEnd w:id="83"/>
      <w:bookmarkEnd w:id="84"/>
      <w:bookmarkEnd w:id="87"/>
      <w:r w:rsidR="0043196E" w:rsidRPr="00072562">
        <w:rPr>
          <w:rStyle w:val="10"/>
          <w:rFonts w:ascii="Times New Roman" w:eastAsiaTheme="minorHAnsi" w:hAnsi="Times New Roman" w:cs="Times New Roman"/>
          <w:b/>
          <w:sz w:val="24"/>
          <w:szCs w:val="24"/>
        </w:rPr>
        <w:t xml:space="preserve"> </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804"/>
      </w:tblGrid>
      <w:tr w:rsidR="0043196E" w:rsidRPr="0043196E" w:rsidTr="00906887">
        <w:trPr>
          <w:trHeight w:val="600"/>
        </w:trPr>
        <w:tc>
          <w:tcPr>
            <w:tcW w:w="3119" w:type="dxa"/>
            <w:shd w:val="clear" w:color="auto" w:fill="auto"/>
            <w:noWrap/>
            <w:vAlign w:val="center"/>
          </w:tcPr>
          <w:p w:rsidR="0043196E" w:rsidRPr="0043196E" w:rsidRDefault="0043196E" w:rsidP="00906887">
            <w:pPr>
              <w:ind w:left="-93"/>
              <w:jc w:val="center"/>
              <w:rPr>
                <w:rFonts w:ascii="Times New Roman" w:hAnsi="Times New Roman" w:cs="Times New Roman"/>
                <w:b/>
                <w:color w:val="000000"/>
                <w:sz w:val="24"/>
                <w:szCs w:val="24"/>
              </w:rPr>
            </w:pPr>
            <w:r w:rsidRPr="0043196E">
              <w:rPr>
                <w:rFonts w:ascii="Times New Roman" w:hAnsi="Times New Roman" w:cs="Times New Roman"/>
                <w:b/>
                <w:color w:val="000000"/>
                <w:sz w:val="24"/>
                <w:szCs w:val="24"/>
              </w:rPr>
              <w:t>Эксперт по направлению</w:t>
            </w:r>
          </w:p>
        </w:tc>
        <w:tc>
          <w:tcPr>
            <w:tcW w:w="6804" w:type="dxa"/>
            <w:shd w:val="clear" w:color="auto" w:fill="auto"/>
            <w:vAlign w:val="center"/>
          </w:tcPr>
          <w:p w:rsidR="0043196E" w:rsidRPr="0043196E" w:rsidRDefault="0043196E" w:rsidP="00906887">
            <w:pPr>
              <w:ind w:left="-93"/>
              <w:jc w:val="center"/>
              <w:rPr>
                <w:rFonts w:ascii="Times New Roman" w:hAnsi="Times New Roman" w:cs="Times New Roman"/>
                <w:b/>
                <w:color w:val="000000"/>
                <w:sz w:val="24"/>
                <w:szCs w:val="24"/>
              </w:rPr>
            </w:pPr>
            <w:r w:rsidRPr="0043196E">
              <w:rPr>
                <w:rFonts w:ascii="Times New Roman" w:hAnsi="Times New Roman" w:cs="Times New Roman"/>
                <w:b/>
                <w:color w:val="000000"/>
                <w:sz w:val="24"/>
                <w:szCs w:val="24"/>
              </w:rPr>
              <w:t>Проведение финансово-экономической экспертизы</w:t>
            </w:r>
          </w:p>
        </w:tc>
      </w:tr>
      <w:tr w:rsidR="0043196E" w:rsidRPr="0043196E" w:rsidTr="00906887">
        <w:trPr>
          <w:trHeight w:val="1905"/>
        </w:trPr>
        <w:tc>
          <w:tcPr>
            <w:tcW w:w="3119" w:type="dxa"/>
            <w:shd w:val="clear" w:color="auto" w:fill="auto"/>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Работник</w:t>
            </w:r>
          </w:p>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Финансово-экономического центра</w:t>
            </w:r>
          </w:p>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ПАО «Интер РАО»</w:t>
            </w:r>
          </w:p>
        </w:tc>
        <w:tc>
          <w:tcPr>
            <w:tcW w:w="6804" w:type="dxa"/>
            <w:shd w:val="clear" w:color="auto" w:fill="auto"/>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 xml:space="preserve">1) закупочные процедуры Группы, сумма по которым превышает </w:t>
            </w:r>
            <w:r w:rsidRPr="0043196E">
              <w:rPr>
                <w:rFonts w:ascii="Times New Roman" w:hAnsi="Times New Roman" w:cs="Times New Roman"/>
                <w:b/>
                <w:color w:val="000000"/>
                <w:sz w:val="24"/>
                <w:szCs w:val="24"/>
              </w:rPr>
              <w:t>250 млн. рублей</w:t>
            </w:r>
            <w:r w:rsidRPr="0043196E">
              <w:rPr>
                <w:rFonts w:ascii="Times New Roman" w:hAnsi="Times New Roman" w:cs="Times New Roman"/>
                <w:color w:val="000000"/>
                <w:sz w:val="24"/>
                <w:szCs w:val="24"/>
              </w:rPr>
              <w:t xml:space="preserve"> без НДС*;</w:t>
            </w:r>
          </w:p>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2) закупочные процедуры Группы связанные с покупкой и транспортировкой топлива для нужд российских генерирующих активов;</w:t>
            </w:r>
          </w:p>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3) закупочные процедуры Группы на оказание услуг банков, лизинговых компаний, страховых компаний и иных финансовых организаций**;</w:t>
            </w:r>
          </w:p>
        </w:tc>
      </w:tr>
      <w:tr w:rsidR="0043196E" w:rsidRPr="0043196E" w:rsidTr="00906887">
        <w:trPr>
          <w:trHeight w:val="975"/>
        </w:trPr>
        <w:tc>
          <w:tcPr>
            <w:tcW w:w="3119" w:type="dxa"/>
            <w:shd w:val="clear" w:color="auto" w:fill="auto"/>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 xml:space="preserve">Работник </w:t>
            </w:r>
          </w:p>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ООО «ИНТЕР РАО – Центр управления закупками» (СЗО)</w:t>
            </w:r>
          </w:p>
        </w:tc>
        <w:tc>
          <w:tcPr>
            <w:tcW w:w="6804" w:type="dxa"/>
            <w:shd w:val="clear" w:color="auto" w:fill="auto"/>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закупочные процедуры Группы, сумма по которым не превышает 250 млн. рублей без НДС, организатором которых является ООО «ИНТЕР РАО – Центр управления закупками» (СЗО) в части не противоречащей подпункту выше</w:t>
            </w:r>
          </w:p>
        </w:tc>
      </w:tr>
      <w:tr w:rsidR="0043196E" w:rsidRPr="0043196E" w:rsidTr="00906887">
        <w:trPr>
          <w:trHeight w:val="916"/>
        </w:trPr>
        <w:tc>
          <w:tcPr>
            <w:tcW w:w="3119" w:type="dxa"/>
            <w:shd w:val="clear" w:color="auto" w:fill="auto"/>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Работник</w:t>
            </w:r>
          </w:p>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финансово-экономической службы соответствующего ДО</w:t>
            </w:r>
          </w:p>
        </w:tc>
        <w:tc>
          <w:tcPr>
            <w:tcW w:w="6804" w:type="dxa"/>
            <w:shd w:val="clear" w:color="auto" w:fill="auto"/>
            <w:vAlign w:val="center"/>
          </w:tcPr>
          <w:p w:rsidR="0043196E" w:rsidRPr="0043196E" w:rsidRDefault="0043196E" w:rsidP="00906887">
            <w:pPr>
              <w:ind w:left="-93"/>
              <w:rPr>
                <w:rFonts w:ascii="Times New Roman" w:hAnsi="Times New Roman" w:cs="Times New Roman"/>
                <w:color w:val="000000"/>
                <w:sz w:val="24"/>
                <w:szCs w:val="24"/>
              </w:rPr>
            </w:pPr>
            <w:r w:rsidRPr="0043196E">
              <w:rPr>
                <w:rFonts w:ascii="Times New Roman" w:hAnsi="Times New Roman" w:cs="Times New Roman"/>
                <w:color w:val="000000"/>
                <w:sz w:val="24"/>
                <w:szCs w:val="24"/>
              </w:rPr>
              <w:t>закупочные процедуры, осуществляемые для собственных нужд ДО, организаторами которых являются соответствующие ДО, сумма закупки не превышает 250 млн. рублей без НДС в части не противоречащей подпунктам выше</w:t>
            </w:r>
          </w:p>
        </w:tc>
      </w:tr>
    </w:tbl>
    <w:p w:rsidR="0043196E" w:rsidRPr="0043196E" w:rsidRDefault="0043196E" w:rsidP="0043196E">
      <w:pPr>
        <w:ind w:left="-567"/>
        <w:jc w:val="both"/>
        <w:rPr>
          <w:rFonts w:ascii="Times New Roman" w:hAnsi="Times New Roman" w:cs="Times New Roman"/>
          <w:i/>
          <w:sz w:val="24"/>
          <w:szCs w:val="24"/>
        </w:rPr>
      </w:pPr>
      <w:r w:rsidRPr="0043196E">
        <w:rPr>
          <w:rFonts w:ascii="Times New Roman" w:hAnsi="Times New Roman" w:cs="Times New Roman"/>
          <w:i/>
          <w:sz w:val="24"/>
          <w:szCs w:val="24"/>
        </w:rPr>
        <w:t>* здесь и далее под суммой закупки подразумевается сумма, установленная в ГКПЗ, при отсутствии цены ГКПЗ указывается средняя стоимость, предложенная участниками закупочной процедуры. Конкурентные закупочные процедуры, по итогам проведения которых планируется заключение рамочных соглашений и договоров (предварительные отборы), рассматриваются в случае, если сумма таких закупок в годовом выражении превышает 250 млн рублей без НДС; в качестве суммы закупки указывается лимит (максимальная сумма), который не должен быть превышен в течение всего срока действия рамочного соглашения-</w:t>
      </w:r>
    </w:p>
    <w:p w:rsidR="0043196E" w:rsidRPr="0043196E" w:rsidRDefault="0043196E" w:rsidP="0043196E">
      <w:pPr>
        <w:ind w:left="-567"/>
        <w:jc w:val="both"/>
        <w:rPr>
          <w:rFonts w:ascii="Times New Roman" w:hAnsi="Times New Roman" w:cs="Times New Roman"/>
          <w:i/>
          <w:sz w:val="24"/>
          <w:szCs w:val="24"/>
        </w:rPr>
      </w:pPr>
      <w:r w:rsidRPr="0043196E">
        <w:rPr>
          <w:rFonts w:ascii="Times New Roman" w:hAnsi="Times New Roman" w:cs="Times New Roman"/>
          <w:i/>
          <w:sz w:val="24"/>
          <w:szCs w:val="24"/>
        </w:rPr>
        <w:t>** оценка финансовой устойчивости финансовых организаций проводится на основе Методики оценки и ограничения кредитного риска по операциям с банками-контрагентами и прочими финансовыми организациями, утвержденной приказом № ИРАО655 от 14.12.2017</w:t>
      </w:r>
    </w:p>
    <w:p w:rsidR="0043196E" w:rsidRPr="0043196E" w:rsidRDefault="0043196E" w:rsidP="0043196E">
      <w:pPr>
        <w:rPr>
          <w:rFonts w:ascii="Times New Roman" w:eastAsia="Calibri" w:hAnsi="Times New Roman" w:cs="Times New Roman"/>
          <w:b/>
          <w:sz w:val="24"/>
          <w:szCs w:val="24"/>
        </w:rPr>
      </w:pPr>
      <w:r w:rsidRPr="0043196E">
        <w:rPr>
          <w:rFonts w:ascii="Times New Roman" w:eastAsia="Calibri" w:hAnsi="Times New Roman" w:cs="Times New Roman"/>
          <w:b/>
          <w:sz w:val="24"/>
          <w:szCs w:val="24"/>
        </w:rPr>
        <w:br w:type="page"/>
      </w:r>
    </w:p>
    <w:p w:rsidR="0043196E" w:rsidRPr="0043196E" w:rsidRDefault="0043196E" w:rsidP="0043196E">
      <w:pPr>
        <w:ind w:left="-567"/>
        <w:jc w:val="both"/>
        <w:rPr>
          <w:rFonts w:ascii="Times New Roman" w:eastAsia="Calibri" w:hAnsi="Times New Roman" w:cs="Times New Roman"/>
          <w:b/>
          <w:sz w:val="24"/>
          <w:szCs w:val="24"/>
        </w:rPr>
      </w:pPr>
      <w:r w:rsidRPr="0043196E">
        <w:rPr>
          <w:rFonts w:ascii="Times New Roman" w:eastAsia="Calibri" w:hAnsi="Times New Roman" w:cs="Times New Roman"/>
          <w:b/>
          <w:sz w:val="24"/>
          <w:szCs w:val="24"/>
        </w:rPr>
        <w:lastRenderedPageBreak/>
        <w:t>Функции контроля в части проведения финансово-экономической экспертизы</w:t>
      </w:r>
    </w:p>
    <w:p w:rsidR="0043196E" w:rsidRPr="0043196E" w:rsidRDefault="0043196E" w:rsidP="0043196E">
      <w:pPr>
        <w:ind w:left="-567" w:firstLine="709"/>
        <w:contextualSpacing/>
        <w:jc w:val="both"/>
        <w:rPr>
          <w:rFonts w:ascii="Times New Roman" w:eastAsia="Calibri" w:hAnsi="Times New Roman" w:cs="Times New Roman"/>
          <w:sz w:val="24"/>
          <w:szCs w:val="24"/>
        </w:rPr>
      </w:pPr>
    </w:p>
    <w:p w:rsidR="0043196E" w:rsidRPr="0043196E" w:rsidRDefault="0043196E" w:rsidP="0043196E">
      <w:pPr>
        <w:ind w:left="-567" w:firstLine="709"/>
        <w:contextualSpacing/>
        <w:jc w:val="both"/>
        <w:rPr>
          <w:rFonts w:ascii="Times New Roman" w:eastAsia="Calibri" w:hAnsi="Times New Roman" w:cs="Times New Roman"/>
          <w:sz w:val="24"/>
          <w:szCs w:val="24"/>
        </w:rPr>
      </w:pPr>
      <w:r w:rsidRPr="0043196E">
        <w:rPr>
          <w:rFonts w:ascii="Times New Roman" w:eastAsia="Calibri" w:hAnsi="Times New Roman" w:cs="Times New Roman"/>
          <w:sz w:val="24"/>
          <w:szCs w:val="24"/>
        </w:rPr>
        <w:t>Для целей оперативного мониторинга и анализа эффективности мероприятий по проведению финансово-экономической экспертизы ООО «ИНТЕР РАО – Центр управления закупками» (СЗО) консолидирует информацию о результатах финансово-экономической экспертизы по закупочным процедурам, организованным ООО «ИНТЕР РАО – Центр управления закупками» для нужд компаний Группы «Интер РАО».</w:t>
      </w:r>
    </w:p>
    <w:p w:rsidR="0043196E" w:rsidRPr="0043196E" w:rsidRDefault="0043196E" w:rsidP="0043196E">
      <w:pPr>
        <w:ind w:left="-567" w:firstLine="709"/>
        <w:contextualSpacing/>
        <w:jc w:val="both"/>
        <w:rPr>
          <w:rFonts w:ascii="Times New Roman" w:eastAsia="Calibri" w:hAnsi="Times New Roman" w:cs="Times New Roman"/>
          <w:sz w:val="24"/>
          <w:szCs w:val="24"/>
        </w:rPr>
      </w:pPr>
      <w:r w:rsidRPr="0043196E">
        <w:rPr>
          <w:rFonts w:ascii="Times New Roman" w:eastAsia="Calibri" w:hAnsi="Times New Roman" w:cs="Times New Roman"/>
          <w:sz w:val="24"/>
          <w:szCs w:val="24"/>
        </w:rPr>
        <w:t xml:space="preserve">По итогам каждого полугодия в срок не позднее 31 августа отчетного года для первого полугодия отчетного года и не позднее 28 февраля последующего года для второго полугодия отчетного года ООО «ИНТЕР РАО – Центр управления закупками» (СЗО) формирует и направляет официальным письмом в адрес руководителя Финансово-экономического центра ПАО «Интер РАО» отчет о проведенных финансово-экономических экспертизах по всем состоявшимся закупочным процедурам, организованным, ООО «ИНТЕР РАО – Центр управления закупками» (СЗО), на сумму свыше 30 млн. рублей без НДС. Отчет предоставляется в формате таблицы </w:t>
      </w:r>
      <w:r w:rsidRPr="0043196E">
        <w:rPr>
          <w:rFonts w:ascii="Times New Roman" w:eastAsia="Calibri" w:hAnsi="Times New Roman" w:cs="Times New Roman"/>
          <w:sz w:val="24"/>
          <w:szCs w:val="24"/>
          <w:lang w:val="en-US"/>
        </w:rPr>
        <w:t>MS</w:t>
      </w:r>
      <w:r w:rsidRPr="0043196E">
        <w:rPr>
          <w:rFonts w:ascii="Times New Roman" w:eastAsia="Calibri" w:hAnsi="Times New Roman" w:cs="Times New Roman"/>
          <w:sz w:val="24"/>
          <w:szCs w:val="24"/>
        </w:rPr>
        <w:t xml:space="preserve"> </w:t>
      </w:r>
      <w:r w:rsidRPr="0043196E">
        <w:rPr>
          <w:rFonts w:ascii="Times New Roman" w:eastAsia="Calibri" w:hAnsi="Times New Roman" w:cs="Times New Roman"/>
          <w:sz w:val="24"/>
          <w:szCs w:val="24"/>
          <w:lang w:val="en-US"/>
        </w:rPr>
        <w:t>EXCEL</w:t>
      </w:r>
      <w:r w:rsidRPr="0043196E">
        <w:rPr>
          <w:rFonts w:ascii="Times New Roman" w:eastAsia="Calibri" w:hAnsi="Times New Roman" w:cs="Times New Roman"/>
          <w:sz w:val="24"/>
          <w:szCs w:val="24"/>
        </w:rPr>
        <w:t xml:space="preserve"> и по каждой закупочной процедуре содержит следующие поля:</w:t>
      </w:r>
    </w:p>
    <w:p w:rsidR="0043196E" w:rsidRPr="0043196E" w:rsidRDefault="0043196E" w:rsidP="0043196E">
      <w:pPr>
        <w:ind w:left="-567" w:firstLine="709"/>
        <w:contextualSpacing/>
        <w:jc w:val="both"/>
        <w:rPr>
          <w:rFonts w:ascii="Times New Roman" w:eastAsia="Calibri" w:hAnsi="Times New Roman" w:cs="Times New Roman"/>
          <w:sz w:val="24"/>
          <w:szCs w:val="24"/>
        </w:rPr>
      </w:pPr>
    </w:p>
    <w:p w:rsidR="0043196E" w:rsidRPr="0043196E" w:rsidRDefault="0043196E" w:rsidP="0043196E">
      <w:pPr>
        <w:numPr>
          <w:ilvl w:val="0"/>
          <w:numId w:val="22"/>
        </w:numPr>
        <w:spacing w:line="240" w:lineRule="auto"/>
        <w:ind w:left="-567"/>
        <w:contextualSpacing/>
        <w:jc w:val="both"/>
        <w:rPr>
          <w:rFonts w:ascii="Times New Roman" w:eastAsia="Calibri" w:hAnsi="Times New Roman" w:cs="Times New Roman"/>
          <w:sz w:val="24"/>
          <w:szCs w:val="24"/>
        </w:rPr>
      </w:pPr>
      <w:r w:rsidRPr="0043196E">
        <w:rPr>
          <w:rFonts w:ascii="Times New Roman" w:eastAsia="Calibri" w:hAnsi="Times New Roman" w:cs="Times New Roman"/>
          <w:sz w:val="24"/>
          <w:szCs w:val="24"/>
        </w:rPr>
        <w:t>Наименование закупочной процедуры (Лот №);</w:t>
      </w:r>
    </w:p>
    <w:p w:rsidR="0043196E" w:rsidRPr="0043196E" w:rsidRDefault="0043196E" w:rsidP="0043196E">
      <w:pPr>
        <w:numPr>
          <w:ilvl w:val="0"/>
          <w:numId w:val="22"/>
        </w:numPr>
        <w:spacing w:line="240" w:lineRule="auto"/>
        <w:ind w:left="-567"/>
        <w:contextualSpacing/>
        <w:jc w:val="both"/>
        <w:rPr>
          <w:rFonts w:ascii="Times New Roman" w:eastAsia="Calibri" w:hAnsi="Times New Roman" w:cs="Times New Roman"/>
          <w:sz w:val="24"/>
          <w:szCs w:val="24"/>
        </w:rPr>
      </w:pPr>
      <w:r w:rsidRPr="0043196E">
        <w:rPr>
          <w:rFonts w:ascii="Times New Roman" w:eastAsia="Calibri" w:hAnsi="Times New Roman" w:cs="Times New Roman"/>
          <w:sz w:val="24"/>
          <w:szCs w:val="24"/>
        </w:rPr>
        <w:t>Стоимость, предложенная победителем (тыс. рублей без НДС);</w:t>
      </w:r>
    </w:p>
    <w:p w:rsidR="0043196E" w:rsidRPr="0043196E" w:rsidRDefault="0043196E" w:rsidP="0043196E">
      <w:pPr>
        <w:numPr>
          <w:ilvl w:val="0"/>
          <w:numId w:val="22"/>
        </w:numPr>
        <w:spacing w:line="240" w:lineRule="auto"/>
        <w:ind w:left="-567"/>
        <w:contextualSpacing/>
        <w:jc w:val="both"/>
        <w:rPr>
          <w:rFonts w:ascii="Times New Roman" w:eastAsia="Calibri" w:hAnsi="Times New Roman" w:cs="Times New Roman"/>
          <w:sz w:val="24"/>
          <w:szCs w:val="24"/>
        </w:rPr>
      </w:pPr>
      <w:r w:rsidRPr="0043196E">
        <w:rPr>
          <w:rFonts w:ascii="Times New Roman" w:eastAsia="Calibri" w:hAnsi="Times New Roman" w:cs="Times New Roman"/>
          <w:sz w:val="24"/>
          <w:szCs w:val="24"/>
        </w:rPr>
        <w:t>Победитель закупочной процедуры (ИНН);</w:t>
      </w:r>
    </w:p>
    <w:p w:rsidR="0043196E" w:rsidRPr="0043196E" w:rsidRDefault="0043196E" w:rsidP="0043196E">
      <w:pPr>
        <w:numPr>
          <w:ilvl w:val="0"/>
          <w:numId w:val="22"/>
        </w:numPr>
        <w:spacing w:line="240" w:lineRule="auto"/>
        <w:ind w:left="-567"/>
        <w:contextualSpacing/>
        <w:jc w:val="both"/>
        <w:rPr>
          <w:rFonts w:ascii="Times New Roman" w:eastAsia="Calibri" w:hAnsi="Times New Roman" w:cs="Times New Roman"/>
          <w:sz w:val="24"/>
          <w:szCs w:val="24"/>
        </w:rPr>
      </w:pPr>
      <w:r w:rsidRPr="0043196E">
        <w:rPr>
          <w:rFonts w:ascii="Times New Roman" w:eastAsia="Calibri" w:hAnsi="Times New Roman" w:cs="Times New Roman"/>
          <w:sz w:val="24"/>
          <w:szCs w:val="24"/>
        </w:rPr>
        <w:t>Экспертная оценка победителя в рамках финэкспертизы (от 1 до 5);</w:t>
      </w:r>
    </w:p>
    <w:p w:rsidR="0043196E" w:rsidRPr="0043196E" w:rsidRDefault="0043196E" w:rsidP="0043196E">
      <w:pPr>
        <w:numPr>
          <w:ilvl w:val="0"/>
          <w:numId w:val="22"/>
        </w:numPr>
        <w:spacing w:line="240" w:lineRule="auto"/>
        <w:ind w:left="-567"/>
        <w:contextualSpacing/>
        <w:jc w:val="both"/>
        <w:rPr>
          <w:rFonts w:ascii="Times New Roman" w:eastAsia="Calibri" w:hAnsi="Times New Roman" w:cs="Times New Roman"/>
          <w:sz w:val="24"/>
          <w:szCs w:val="24"/>
        </w:rPr>
      </w:pPr>
      <w:r w:rsidRPr="0043196E">
        <w:rPr>
          <w:rFonts w:ascii="Times New Roman" w:eastAsia="Calibri" w:hAnsi="Times New Roman" w:cs="Times New Roman"/>
          <w:sz w:val="24"/>
          <w:szCs w:val="24"/>
        </w:rPr>
        <w:t>Осуществлялись ли экспертные корректировки (да/нет).</w:t>
      </w:r>
    </w:p>
    <w:p w:rsidR="0043196E" w:rsidRPr="0043196E" w:rsidRDefault="0043196E" w:rsidP="0043196E">
      <w:pPr>
        <w:ind w:left="-567" w:firstLine="709"/>
        <w:contextualSpacing/>
        <w:jc w:val="both"/>
        <w:rPr>
          <w:rFonts w:ascii="Times New Roman" w:eastAsia="Calibri" w:hAnsi="Times New Roman" w:cs="Times New Roman"/>
          <w:sz w:val="24"/>
          <w:szCs w:val="24"/>
        </w:rPr>
      </w:pPr>
    </w:p>
    <w:p w:rsidR="0043196E" w:rsidRPr="0043196E" w:rsidRDefault="0043196E" w:rsidP="0043196E">
      <w:pPr>
        <w:ind w:left="-567" w:firstLine="709"/>
        <w:contextualSpacing/>
        <w:jc w:val="both"/>
        <w:rPr>
          <w:rFonts w:ascii="Times New Roman" w:eastAsia="Calibri" w:hAnsi="Times New Roman" w:cs="Times New Roman"/>
          <w:sz w:val="24"/>
          <w:szCs w:val="24"/>
        </w:rPr>
      </w:pPr>
      <w:r w:rsidRPr="0043196E">
        <w:rPr>
          <w:rFonts w:ascii="Times New Roman" w:eastAsia="Calibri" w:hAnsi="Times New Roman" w:cs="Times New Roman"/>
          <w:sz w:val="24"/>
          <w:szCs w:val="24"/>
        </w:rPr>
        <w:t xml:space="preserve">При необходимости Финансово-экономическим центром ПАО «Интер РАО» может быть запрошена дополнительная информация по проведенным закупочным </w:t>
      </w:r>
      <w:bookmarkStart w:id="88" w:name="_Toc326067325"/>
      <w:bookmarkStart w:id="89" w:name="_Toc516132534"/>
      <w:r w:rsidRPr="0043196E">
        <w:rPr>
          <w:rFonts w:ascii="Times New Roman" w:eastAsia="Calibri" w:hAnsi="Times New Roman" w:cs="Times New Roman"/>
          <w:sz w:val="24"/>
          <w:szCs w:val="24"/>
        </w:rPr>
        <w:t>процедура</w:t>
      </w:r>
    </w:p>
    <w:p w:rsidR="0043196E" w:rsidRPr="0043196E" w:rsidRDefault="0043196E" w:rsidP="0043196E">
      <w:pPr>
        <w:ind w:left="-567" w:firstLine="709"/>
        <w:contextualSpacing/>
        <w:jc w:val="both"/>
        <w:rPr>
          <w:rFonts w:ascii="Times New Roman" w:eastAsia="Calibri" w:hAnsi="Times New Roman" w:cs="Times New Roman"/>
          <w:sz w:val="24"/>
          <w:szCs w:val="24"/>
        </w:rPr>
      </w:pPr>
    </w:p>
    <w:p w:rsidR="0043196E" w:rsidRPr="0043196E" w:rsidRDefault="0043196E" w:rsidP="0043196E">
      <w:pPr>
        <w:rPr>
          <w:rStyle w:val="10"/>
          <w:rFonts w:ascii="Times New Roman" w:eastAsia="Calibri" w:hAnsi="Times New Roman" w:cs="Times New Roman"/>
          <w:b w:val="0"/>
          <w:bCs w:val="0"/>
          <w:sz w:val="24"/>
          <w:szCs w:val="24"/>
        </w:rPr>
      </w:pPr>
      <w:r w:rsidRPr="0043196E">
        <w:rPr>
          <w:rFonts w:ascii="Times New Roman" w:eastAsia="Calibri" w:hAnsi="Times New Roman" w:cs="Times New Roman"/>
          <w:sz w:val="24"/>
          <w:szCs w:val="24"/>
        </w:rPr>
        <w:br w:type="page"/>
      </w:r>
    </w:p>
    <w:p w:rsidR="0043196E" w:rsidRPr="00072562" w:rsidRDefault="00072562" w:rsidP="00072562">
      <w:pPr>
        <w:pStyle w:val="2"/>
        <w:rPr>
          <w:rStyle w:val="10"/>
          <w:rFonts w:ascii="Times New Roman" w:eastAsia="Calibri" w:hAnsi="Times New Roman" w:cs="Times New Roman"/>
          <w:b/>
          <w:bCs/>
          <w:sz w:val="24"/>
          <w:szCs w:val="24"/>
        </w:rPr>
      </w:pPr>
      <w:r>
        <w:rPr>
          <w:rStyle w:val="10"/>
          <w:rFonts w:ascii="Times New Roman" w:eastAsiaTheme="minorHAnsi" w:hAnsi="Times New Roman" w:cs="Times New Roman"/>
          <w:b/>
          <w:sz w:val="24"/>
          <w:szCs w:val="24"/>
        </w:rPr>
        <w:lastRenderedPageBreak/>
        <w:t xml:space="preserve">            </w:t>
      </w:r>
      <w:bookmarkStart w:id="90" w:name="_Toc519591615"/>
      <w:r w:rsidR="0043196E" w:rsidRPr="00072562">
        <w:rPr>
          <w:rStyle w:val="10"/>
          <w:rFonts w:ascii="Times New Roman" w:eastAsiaTheme="minorHAnsi" w:hAnsi="Times New Roman" w:cs="Times New Roman"/>
          <w:b/>
          <w:sz w:val="24"/>
          <w:szCs w:val="24"/>
        </w:rPr>
        <w:t>Приложение 2</w:t>
      </w:r>
      <w:bookmarkEnd w:id="85"/>
      <w:r w:rsidR="0043196E" w:rsidRPr="00072562">
        <w:rPr>
          <w:rStyle w:val="10"/>
          <w:rFonts w:ascii="Times New Roman" w:eastAsiaTheme="minorHAnsi" w:hAnsi="Times New Roman" w:cs="Times New Roman"/>
          <w:b/>
          <w:sz w:val="24"/>
          <w:szCs w:val="24"/>
        </w:rPr>
        <w:t xml:space="preserve"> Алгоритм действия Эксперта при подготовке заключения по направлению финансово-экономической экспертизы</w:t>
      </w:r>
      <w:bookmarkEnd w:id="88"/>
      <w:r w:rsidR="0043196E" w:rsidRPr="00072562">
        <w:rPr>
          <w:rStyle w:val="10"/>
          <w:rFonts w:ascii="Times New Roman" w:eastAsiaTheme="minorHAnsi" w:hAnsi="Times New Roman" w:cs="Times New Roman"/>
          <w:b/>
          <w:sz w:val="24"/>
          <w:szCs w:val="24"/>
        </w:rPr>
        <w:t xml:space="preserve"> </w:t>
      </w:r>
      <w:bookmarkEnd w:id="86"/>
      <w:r w:rsidR="0043196E" w:rsidRPr="00072562">
        <w:rPr>
          <w:rStyle w:val="10"/>
          <w:rFonts w:ascii="Times New Roman" w:eastAsiaTheme="minorHAnsi" w:hAnsi="Times New Roman" w:cs="Times New Roman"/>
          <w:b/>
          <w:sz w:val="24"/>
          <w:szCs w:val="24"/>
        </w:rPr>
        <w:t>с использованием шаблона «Финэкспертиза.</w:t>
      </w:r>
      <w:r w:rsidR="0043196E" w:rsidRPr="00072562">
        <w:rPr>
          <w:rStyle w:val="10"/>
          <w:rFonts w:ascii="Times New Roman" w:eastAsiaTheme="minorHAnsi" w:hAnsi="Times New Roman" w:cs="Times New Roman"/>
          <w:b/>
          <w:sz w:val="24"/>
          <w:szCs w:val="24"/>
          <w:lang w:val="en-US"/>
        </w:rPr>
        <w:t>xls</w:t>
      </w:r>
      <w:r w:rsidR="0043196E" w:rsidRPr="00072562">
        <w:rPr>
          <w:rStyle w:val="10"/>
          <w:rFonts w:ascii="Times New Roman" w:eastAsiaTheme="minorHAnsi" w:hAnsi="Times New Roman" w:cs="Times New Roman"/>
          <w:b/>
          <w:sz w:val="24"/>
          <w:szCs w:val="24"/>
        </w:rPr>
        <w:t>» (по закупочным процедурам, проводимым на общих основаниях)</w:t>
      </w:r>
      <w:bookmarkEnd w:id="89"/>
      <w:bookmarkEnd w:id="90"/>
    </w:p>
    <w:p w:rsidR="0043196E" w:rsidRPr="0043196E" w:rsidRDefault="0043196E" w:rsidP="0043196E">
      <w:pPr>
        <w:numPr>
          <w:ilvl w:val="0"/>
          <w:numId w:val="16"/>
        </w:numPr>
        <w:spacing w:after="0" w:line="240" w:lineRule="auto"/>
        <w:ind w:left="-567"/>
        <w:jc w:val="both"/>
        <w:rPr>
          <w:rFonts w:ascii="Times New Roman" w:hAnsi="Times New Roman" w:cs="Times New Roman"/>
          <w:b/>
          <w:sz w:val="24"/>
          <w:szCs w:val="24"/>
        </w:rPr>
      </w:pPr>
      <w:r w:rsidRPr="0043196E">
        <w:rPr>
          <w:rFonts w:ascii="Times New Roman" w:hAnsi="Times New Roman" w:cs="Times New Roman"/>
          <w:b/>
          <w:sz w:val="24"/>
          <w:szCs w:val="24"/>
        </w:rPr>
        <w:t>Формат заключения</w:t>
      </w:r>
    </w:p>
    <w:p w:rsidR="0043196E" w:rsidRPr="0043196E" w:rsidRDefault="0043196E" w:rsidP="0043196E">
      <w:pPr>
        <w:numPr>
          <w:ilvl w:val="1"/>
          <w:numId w:val="16"/>
        </w:numPr>
        <w:spacing w:after="0" w:line="240" w:lineRule="auto"/>
        <w:ind w:left="-567"/>
        <w:jc w:val="both"/>
        <w:rPr>
          <w:rFonts w:ascii="Times New Roman" w:hAnsi="Times New Roman" w:cs="Times New Roman"/>
          <w:b/>
          <w:sz w:val="24"/>
          <w:szCs w:val="24"/>
        </w:rPr>
      </w:pPr>
      <w:r w:rsidRPr="0043196E">
        <w:rPr>
          <w:rFonts w:ascii="Times New Roman" w:hAnsi="Times New Roman" w:cs="Times New Roman"/>
          <w:sz w:val="24"/>
          <w:szCs w:val="24"/>
        </w:rPr>
        <w:t>Для реализации подхода к проведению финансово-экономической экспертизы согласно Методике Финансово-экономическим центром ПАО «Интер РАО» разработан шаблон «Финэкспертиза.</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xml:space="preserve">» (файл в формате </w:t>
      </w:r>
      <w:r w:rsidRPr="0043196E">
        <w:rPr>
          <w:rFonts w:ascii="Times New Roman" w:hAnsi="Times New Roman" w:cs="Times New Roman"/>
          <w:sz w:val="24"/>
          <w:szCs w:val="24"/>
          <w:lang w:val="en-US"/>
        </w:rPr>
        <w:t>MS</w:t>
      </w:r>
      <w:r w:rsidRPr="0043196E">
        <w:rPr>
          <w:rFonts w:ascii="Times New Roman" w:hAnsi="Times New Roman" w:cs="Times New Roman"/>
          <w:sz w:val="24"/>
          <w:szCs w:val="24"/>
        </w:rPr>
        <w:t xml:space="preserve"> </w:t>
      </w:r>
      <w:r w:rsidRPr="0043196E">
        <w:rPr>
          <w:rFonts w:ascii="Times New Roman" w:hAnsi="Times New Roman" w:cs="Times New Roman"/>
          <w:sz w:val="24"/>
          <w:szCs w:val="24"/>
          <w:lang w:val="en-US"/>
        </w:rPr>
        <w:t>Excel</w:t>
      </w:r>
      <w:r w:rsidRPr="0043196E">
        <w:rPr>
          <w:rFonts w:ascii="Times New Roman" w:hAnsi="Times New Roman" w:cs="Times New Roman"/>
          <w:sz w:val="24"/>
          <w:szCs w:val="24"/>
        </w:rPr>
        <w:t>), куда внесены формулы для расчета финансовых показателей и весовые коэффициенты. В шаблоне также осуществляется расчет итогового показателя, используемого для ранжирования участников закупочной процедуры. Шаблон «Финэкспертиза.</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прикладывается к Методике.</w:t>
      </w:r>
    </w:p>
    <w:p w:rsidR="0043196E" w:rsidRPr="0043196E" w:rsidRDefault="0043196E" w:rsidP="0043196E">
      <w:pPr>
        <w:numPr>
          <w:ilvl w:val="1"/>
          <w:numId w:val="16"/>
        </w:numPr>
        <w:spacing w:after="0" w:line="240" w:lineRule="auto"/>
        <w:ind w:left="-567"/>
        <w:jc w:val="both"/>
        <w:rPr>
          <w:rFonts w:ascii="Times New Roman" w:hAnsi="Times New Roman" w:cs="Times New Roman"/>
          <w:b/>
          <w:sz w:val="24"/>
          <w:szCs w:val="24"/>
        </w:rPr>
      </w:pPr>
      <w:r w:rsidRPr="0043196E">
        <w:rPr>
          <w:rFonts w:ascii="Times New Roman" w:hAnsi="Times New Roman" w:cs="Times New Roman"/>
          <w:sz w:val="24"/>
          <w:szCs w:val="24"/>
        </w:rPr>
        <w:t>Заключение по направлению финансово-экономической экспертизы готовится Экспертом по форме, установленной в приложении 4. Формат таблицы в приложении полностью соответствует формату шаблона «Финэкспертиза.</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используемого для расчёта финансовых коэффициентов.</w:t>
      </w:r>
    </w:p>
    <w:p w:rsidR="0043196E" w:rsidRPr="0043196E" w:rsidRDefault="0043196E" w:rsidP="0043196E">
      <w:pPr>
        <w:numPr>
          <w:ilvl w:val="0"/>
          <w:numId w:val="16"/>
        </w:numPr>
        <w:spacing w:after="0" w:line="240" w:lineRule="auto"/>
        <w:ind w:left="-567"/>
        <w:jc w:val="both"/>
        <w:rPr>
          <w:rFonts w:ascii="Times New Roman" w:hAnsi="Times New Roman" w:cs="Times New Roman"/>
          <w:b/>
          <w:sz w:val="24"/>
          <w:szCs w:val="24"/>
        </w:rPr>
      </w:pPr>
      <w:r w:rsidRPr="0043196E">
        <w:rPr>
          <w:rFonts w:ascii="Times New Roman" w:hAnsi="Times New Roman" w:cs="Times New Roman"/>
          <w:b/>
          <w:sz w:val="24"/>
          <w:szCs w:val="24"/>
        </w:rPr>
        <w:t>Оценка по критериям и подготовка заключения</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Перед началом рассмотрения и оценки предложений участников закупочной процедуры Эксперт должен ознакомиться с условиями закупочной процедуры, изложенными в извещении о проведении закупочной процедуры и закупочной документации. Эксперт должен проверить наличие и полноту документов, необходимых для проведения финансово-экономической экспертизы. Эксперт вправе предложить закупочной комиссии затребовать от любого участника закупочной процедуры предоставления дополнительных сведений, необходимых для проведения экспертизы. Такое предложение должно сопровождаться письменным обоснованием необходимости запрашиваемой информации для оценки.</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Подготовка заключения начинается с внесения Экспертом исходных данных в шаблон «Финэкспертиза.</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для осуществления оценки. Обязательными для заполнения являются следующие графы таблицы:</w:t>
      </w:r>
    </w:p>
    <w:p w:rsidR="0043196E" w:rsidRPr="0043196E" w:rsidRDefault="0043196E" w:rsidP="0043196E">
      <w:pPr>
        <w:numPr>
          <w:ilvl w:val="0"/>
          <w:numId w:val="17"/>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название компании;</w:t>
      </w:r>
    </w:p>
    <w:p w:rsidR="0043196E" w:rsidRPr="0043196E" w:rsidRDefault="0043196E" w:rsidP="0043196E">
      <w:pPr>
        <w:numPr>
          <w:ilvl w:val="0"/>
          <w:numId w:val="17"/>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ИНН;</w:t>
      </w:r>
    </w:p>
    <w:p w:rsidR="0043196E" w:rsidRPr="0043196E" w:rsidRDefault="0043196E" w:rsidP="0043196E">
      <w:pPr>
        <w:numPr>
          <w:ilvl w:val="0"/>
          <w:numId w:val="17"/>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регион;</w:t>
      </w:r>
    </w:p>
    <w:p w:rsidR="0043196E" w:rsidRPr="0043196E" w:rsidRDefault="0043196E" w:rsidP="0043196E">
      <w:pPr>
        <w:numPr>
          <w:ilvl w:val="0"/>
          <w:numId w:val="17"/>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дата регистрации;</w:t>
      </w:r>
    </w:p>
    <w:p w:rsidR="0043196E" w:rsidRPr="0043196E" w:rsidRDefault="0043196E" w:rsidP="0043196E">
      <w:pPr>
        <w:numPr>
          <w:ilvl w:val="0"/>
          <w:numId w:val="17"/>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основной вид деятельности (ОКВЭД);</w:t>
      </w:r>
    </w:p>
    <w:p w:rsidR="0043196E" w:rsidRPr="0043196E" w:rsidRDefault="0043196E" w:rsidP="0043196E">
      <w:pPr>
        <w:numPr>
          <w:ilvl w:val="0"/>
          <w:numId w:val="17"/>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стоимость предложения, тыс. руб. без НДС</w:t>
      </w:r>
    </w:p>
    <w:p w:rsidR="0043196E" w:rsidRPr="0043196E" w:rsidRDefault="0043196E" w:rsidP="0043196E">
      <w:pPr>
        <w:numPr>
          <w:ilvl w:val="0"/>
          <w:numId w:val="17"/>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сумма задолженности по начисленным налогам, сборам и иным обязательным платежам, тыс. руб.</w:t>
      </w:r>
    </w:p>
    <w:p w:rsidR="0043196E" w:rsidRPr="0043196E" w:rsidRDefault="0043196E" w:rsidP="0043196E">
      <w:pPr>
        <w:numPr>
          <w:ilvl w:val="0"/>
          <w:numId w:val="17"/>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данные бухгалтерской отчетности</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Источниками информации при заполнении сводной таблицы для формирования итогового заключения служат бухгалтерская отчетность участника закупочной процедуры с подтверждением предоставления в ИФНС, копия устава, копия выписки из ЕГРЮЛ/ЕГРИП, анкета, а также оферта участника закупочной процедуры.</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 xml:space="preserve">Источником информации при заполнении графы «Сумма задолженности по начисленным налогам, сборам и иным обязательным платежам, тыс. руб.» служит копия подписанной и заверенной печатью налогового органа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если указанные справки предоставляются в форме электронного </w:t>
      </w:r>
      <w:r w:rsidRPr="0043196E">
        <w:rPr>
          <w:rFonts w:ascii="Times New Roman" w:hAnsi="Times New Roman" w:cs="Times New Roman"/>
          <w:sz w:val="24"/>
          <w:szCs w:val="24"/>
        </w:rPr>
        <w:lastRenderedPageBreak/>
        <w:t xml:space="preserve">документа в формате </w:t>
      </w:r>
      <w:r w:rsidRPr="0043196E">
        <w:rPr>
          <w:rFonts w:ascii="Times New Roman" w:hAnsi="Times New Roman" w:cs="Times New Roman"/>
          <w:sz w:val="24"/>
          <w:szCs w:val="24"/>
          <w:lang w:val="en-US"/>
        </w:rPr>
        <w:t>pdf</w:t>
      </w:r>
      <w:r w:rsidRPr="0043196E">
        <w:rPr>
          <w:rFonts w:ascii="Times New Roman" w:hAnsi="Times New Roman" w:cs="Times New Roman"/>
          <w:sz w:val="24"/>
          <w:szCs w:val="24"/>
        </w:rPr>
        <w:t xml:space="preserve">, такие документы должны содержать усиленную квалифицированную электронную подпись налогового органа и ее визуализацию. </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В случае наличия задолженности по начисленным налогам, сборам и иным обязательным платежам участник закупки должен предоставить копию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 а Эксперт внести в графу «Сумма задолженности по начисленным налогам, сборам и иным обязательным платежам, тыс. руб.» указанную в справке сумму задолженности в тысячах российских рублей.</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В случае отсутствия задолженности в графу «Сумма задолженности по начисленным налогам, сборам и иным обязательным платежам, тыс. руб.» Эксперт вносит 0.</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При наличии оплаченного доступа к информационно-аналитической системе «Спарк-Интерфакс» (системе, содержащей данные, включая регистрационные и бухгалтерские, по большинству российских юридических лиц) и доступа к сети интернет, в шаблоне «Финэкспертиза.</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предусмотрена возможность автоматического заполнения формы.</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Для этого на листе шаблона с соответствующим порядковым номером участника вводится его идентификационный номер налогоплательщика (ИНН), после этого при нажатии ссылки «Загрузить данные из Спарк» автоматически заполняются поля сводной формы.</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В случае отсутствия каких-либо регистрационных или бухгалтерских данных по участнику закупочной процедуры в информационно-аналитической системе «Спарк-Интерфакс» (как правило, это бухгалтерская отчетность за последний отчетный период) недостающая информация вносится в шаблон непосредственно Экспертом.</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Учитывая тот факт, что источником информации в системе «Спарк-Интерфакс» являются официальные государственные органы, такие как Федеральная налоговая служба, Федеральная служба государственной статистики, Федеральная служба по финансовым рынкам, Центральный Банк России и др., – допускается использовать при проведении финансово-экономической экспертизы данные бухгалтерской отчетности, представленные в информационно-аналитической системе «Спарк-Интерфакс».</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В случае расхождения данных бухгалтерской отчетности, предоставленных участником закупочной процедуры, и данных, представленных в информационно-аналитической системе «Спарк-Интерфакс» для расчета финансовых показателей должны использоваться данные, предоставленные непосредственно участником закупочной процедуры. При этом факт расхождения отражается Экспертом в его экспертном заключении.</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На основании данных бухгалтерской отчетности в шаблоне «Финэкспертиза.</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рассчитываются финансовые коэффициенты и в зависимости от принимаемых значений им присваиваются баллы от 0 до 1.</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Затем Эксперт качественно оценивает бизнес-риски, в числе которых:</w:t>
      </w:r>
    </w:p>
    <w:p w:rsidR="0043196E" w:rsidRPr="0043196E" w:rsidRDefault="0043196E" w:rsidP="0043196E">
      <w:pPr>
        <w:numPr>
          <w:ilvl w:val="0"/>
          <w:numId w:val="18"/>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соответствие основного вида деятельности по классификации ОКВЭД;</w:t>
      </w:r>
    </w:p>
    <w:p w:rsidR="0043196E" w:rsidRPr="0043196E" w:rsidRDefault="0043196E" w:rsidP="0043196E">
      <w:pPr>
        <w:numPr>
          <w:ilvl w:val="0"/>
          <w:numId w:val="18"/>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численность персонала;</w:t>
      </w:r>
    </w:p>
    <w:p w:rsidR="0043196E" w:rsidRPr="0043196E" w:rsidRDefault="0043196E" w:rsidP="0043196E">
      <w:pPr>
        <w:numPr>
          <w:ilvl w:val="0"/>
          <w:numId w:val="18"/>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регион ведения деятельности;</w:t>
      </w:r>
    </w:p>
    <w:p w:rsidR="0043196E" w:rsidRPr="0043196E" w:rsidRDefault="0043196E" w:rsidP="0043196E">
      <w:pPr>
        <w:numPr>
          <w:ilvl w:val="0"/>
          <w:numId w:val="18"/>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финансовые условия сделки.</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lastRenderedPageBreak/>
        <w:t>Оценки по критериям «соответствие основного вида деятельности по классификации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 Однако, в случае если, по мнению эксперта, участие в закупочной процедуре при значительном несоответствии участника по данным критериям может существенно повлиять на его финансовую устойчивость, итоговая оценка может быть понижена экспертом, но не более чем на 0,5 балла по пятибалльной шкале.</w:t>
      </w:r>
    </w:p>
    <w:p w:rsidR="0043196E" w:rsidRPr="0043196E" w:rsidRDefault="0043196E" w:rsidP="0043196E">
      <w:pPr>
        <w:numPr>
          <w:ilvl w:val="2"/>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Финансовые условия сделки оцениваются в разрезе следующих основных вариантов:</w:t>
      </w:r>
    </w:p>
    <w:p w:rsidR="0043196E" w:rsidRPr="0043196E" w:rsidRDefault="0043196E" w:rsidP="0043196E">
      <w:pPr>
        <w:numPr>
          <w:ilvl w:val="0"/>
          <w:numId w:val="19"/>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без предоплаты;</w:t>
      </w:r>
    </w:p>
    <w:p w:rsidR="0043196E" w:rsidRPr="0043196E" w:rsidRDefault="0043196E" w:rsidP="0043196E">
      <w:pPr>
        <w:numPr>
          <w:ilvl w:val="0"/>
          <w:numId w:val="19"/>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полное покрытие аванса банковской гарантией;</w:t>
      </w:r>
    </w:p>
    <w:p w:rsidR="0043196E" w:rsidRPr="0043196E" w:rsidRDefault="0043196E" w:rsidP="0043196E">
      <w:pPr>
        <w:numPr>
          <w:ilvl w:val="0"/>
          <w:numId w:val="19"/>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аванс без покрытия банковской гарантией.</w:t>
      </w:r>
    </w:p>
    <w:p w:rsidR="0043196E" w:rsidRPr="0043196E" w:rsidRDefault="0043196E" w:rsidP="0043196E">
      <w:pPr>
        <w:numPr>
          <w:ilvl w:val="3"/>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 первому варианту «без предоплаты» относятся также случаи, когда договором предусмотрен ряд последовательных платежей в пользу участника закупочной процедуры, однако при этом каждый такой платеж осуществляется по факту осуществленной поставки или оказанной услуги.</w:t>
      </w:r>
    </w:p>
    <w:p w:rsidR="0043196E" w:rsidRPr="0043196E" w:rsidRDefault="0043196E" w:rsidP="0043196E">
      <w:pPr>
        <w:numPr>
          <w:ilvl w:val="3"/>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Ко второму варианту «полное покрытие аванса банковской гарантией» относятся также случаи, когда договором предусмотрен ряд последовательных платежей в пользу участника закупочной процедуры, при этом каждый такой платеж, в случае если он осуществляется авансом, покрыт банковской гарантией.</w:t>
      </w:r>
    </w:p>
    <w:p w:rsidR="0043196E" w:rsidRPr="0043196E" w:rsidRDefault="0043196E" w:rsidP="0043196E">
      <w:pPr>
        <w:numPr>
          <w:ilvl w:val="3"/>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Случай, когда какой-либо авансовый платеж или его часть в пользу участника закупочной процедуры планируется осуществить без покрытия банковской гарантией, такой вариант должен рассматриваться как «аванс без покрытия банковской гарантией».</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Срок существования компаний-участниц закупочной процедуры определяется в шаблоне «Финэкспертиза.</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автоматически на основании заполненных граф с датой регистрации и датой подготовки заключения.</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В шаблоне «Финэкспертиза.</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также реализовано сопоставление суммы планируемого договора и величины аванса, указанной в оферте участника закупочной процедуры, с его активами и годовой выручкой.</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Оценка по критериям «срок существования» и «соответствие масштабов деятельности участника закупочной процедуры сумме закупки» осуществляется автоматически.</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Когда в шаблон «Финэкспертиза.</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внесены:</w:t>
      </w:r>
    </w:p>
    <w:p w:rsidR="0043196E" w:rsidRPr="0043196E" w:rsidRDefault="0043196E" w:rsidP="0043196E">
      <w:pPr>
        <w:numPr>
          <w:ilvl w:val="0"/>
          <w:numId w:val="20"/>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регистрационные данные участника закупочной процедуры (название компании, ИНН, регион; дата регистрации, основной вид деятельности),</w:t>
      </w:r>
    </w:p>
    <w:p w:rsidR="0043196E" w:rsidRPr="0043196E" w:rsidRDefault="0043196E" w:rsidP="0043196E">
      <w:pPr>
        <w:numPr>
          <w:ilvl w:val="0"/>
          <w:numId w:val="20"/>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данные бухгалтерской отчетности,</w:t>
      </w:r>
    </w:p>
    <w:p w:rsidR="0043196E" w:rsidRPr="0043196E" w:rsidRDefault="0043196E" w:rsidP="0043196E">
      <w:pPr>
        <w:numPr>
          <w:ilvl w:val="0"/>
          <w:numId w:val="20"/>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проставлены галочки в соответствующих полях формы для условий оплаты,</w:t>
      </w:r>
    </w:p>
    <w:p w:rsidR="0043196E" w:rsidRPr="0043196E" w:rsidRDefault="0043196E" w:rsidP="0043196E">
      <w:pPr>
        <w:numPr>
          <w:ilvl w:val="0"/>
          <w:numId w:val="20"/>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занесена сумма задолженности по начисленным налогам, сборам и иным обязательным платежам в тыс. руб.,</w:t>
      </w:r>
    </w:p>
    <w:p w:rsidR="0043196E" w:rsidRPr="0043196E" w:rsidRDefault="0043196E" w:rsidP="0043196E">
      <w:pPr>
        <w:numPr>
          <w:ilvl w:val="0"/>
          <w:numId w:val="20"/>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указана сумма планируемого договора,</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осуществляется автоматическая оценка участников закупочной процедуры на основе балльно-весового подхода, параметры которого (баллы и веса) определены Методикой.</w:t>
      </w:r>
    </w:p>
    <w:p w:rsidR="0043196E" w:rsidRPr="0043196E" w:rsidRDefault="0043196E" w:rsidP="0043196E">
      <w:pPr>
        <w:numPr>
          <w:ilvl w:val="0"/>
          <w:numId w:val="16"/>
        </w:numPr>
        <w:spacing w:after="0" w:line="240" w:lineRule="auto"/>
        <w:ind w:left="-567"/>
        <w:jc w:val="both"/>
        <w:rPr>
          <w:rFonts w:ascii="Times New Roman" w:hAnsi="Times New Roman" w:cs="Times New Roman"/>
          <w:b/>
          <w:sz w:val="24"/>
          <w:szCs w:val="24"/>
        </w:rPr>
      </w:pPr>
      <w:r w:rsidRPr="0043196E">
        <w:rPr>
          <w:rFonts w:ascii="Times New Roman" w:hAnsi="Times New Roman" w:cs="Times New Roman"/>
          <w:b/>
          <w:sz w:val="24"/>
          <w:szCs w:val="24"/>
        </w:rPr>
        <w:t>Формирование окончательного решения</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 xml:space="preserve">На отборочной стадии Эксперт, используя результаты совместного применения балльно-весового подхода и системы стоп и риск-факторов, согласно алгоритму, описанному в </w:t>
      </w:r>
      <w:r w:rsidRPr="0043196E">
        <w:rPr>
          <w:rFonts w:ascii="Times New Roman" w:hAnsi="Times New Roman" w:cs="Times New Roman"/>
          <w:sz w:val="24"/>
          <w:szCs w:val="24"/>
        </w:rPr>
        <w:lastRenderedPageBreak/>
        <w:t>Методике, принимает решение о соответствии / несоответствии участников закупочной процедуры требованиям закупочной документации и настоящей Методики с точки зрения финансово-экономических критериев. В случае если на основании применения балльно-весового подхода и системы стоп и риск-факторов автоматически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 должен внести необходимые корректировки с обоснованием своей позиции в экспертном заключении. Итоговая оценка на оценочной стадии за исключением случаев, описанных в п. 3.7., при этом не должна превышать 1 по пятибалльной шкале (минимально допустимый уровень).</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На оценочной стадии финансово-экономической экспертизы предложения участников закупочной процедуры, прошедших отборочную стадию, ранжируются между собой. В основе количественной меры для сравнения предложений участников в рамках финансово-экономической экспертизы, также используется первичный балл от 0 до 1, полученный в результате применения балльно-весового подхода. Все компании, набравшие более 0,45 баллов по шкале от 0 до 1 (по которым принято положительное решение на отборочной стадии) ранжируются с присвоением оценки по пятибалльной шкале от 0 до 5. Порядок перевода шкалы от 0 до 1 в шкалу от 0 до 5 установлен Методикой.</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За Экспертом на оценочной стадии закрепляется право в отдельных случаях (см. таблицу Алгоритм принятия решения) повышать или понижать, если иное специально не оговорено в Методике, не более чем на 1 балл по пятибалльной шкале оценку, полученную автоматически.</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 целью расширения доступа субъектов малого и среднего предпринимательства к участию в конкурентных закупочных процедурах, организованных Обществом, когда для оказания услуги и/или осуществления поставки от участников закупочной процедуры не требуется наличие значительных финансовых и материально-технических ресурсов, допускается экспертно повышать оценку – а именно, для компаний субъектов малого и среднего предпринимательства, получивших оценку «не соответствует» или 0 (ноль) баллов по причине несоответствия масштабов деятельности участника плановой стоимости закупки, разрешается экспертно повышать оценку до «соответствует», и допускать таких участников до оценочной стадии, итоговая оценка при этом не должна превышать 1 по пятибалльной шкале (минимально допустимый уровень). К таким случаям могут относиться конкурентные закупочные процедуры по перечисленным ниже статьям расходов Общества, плановая стоимость закупки по которым не превышает 30 млн. рублей без НДС:</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административно-хозяйственные расходы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охрана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консультационные и информационные расходы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аудит и оценка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юридические услуги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корпоративное управление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расходы на персонал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реклама и маркетинг (поставки и услуги).</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По результатам проведенной финансово-экономической экспертизы Эксперт по каждому участнику закупочной процедуры готовит при необходимости, обусловленной требованиями закупочной документации, экспертное заключение с указанием наиболее значимых факторов, повлиявших на итоговую оценку.</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 xml:space="preserve">В случае </w:t>
      </w:r>
      <w:r w:rsidRPr="0043196E">
        <w:rPr>
          <w:rFonts w:ascii="Times New Roman" w:hAnsi="Times New Roman" w:cs="Times New Roman"/>
          <w:b/>
          <w:sz w:val="24"/>
          <w:szCs w:val="24"/>
        </w:rPr>
        <w:t>если решение, принятое Экспертом в рамках финансово-экономической экспертизы, отличается от принятого автоматически</w:t>
      </w:r>
      <w:r w:rsidRPr="0043196E">
        <w:rPr>
          <w:rFonts w:ascii="Times New Roman" w:hAnsi="Times New Roman" w:cs="Times New Roman"/>
          <w:sz w:val="24"/>
          <w:szCs w:val="24"/>
        </w:rPr>
        <w:t xml:space="preserve"> в рамках балльно-весового подхода, </w:t>
      </w:r>
      <w:r w:rsidRPr="0043196E">
        <w:rPr>
          <w:rFonts w:ascii="Times New Roman" w:hAnsi="Times New Roman" w:cs="Times New Roman"/>
          <w:sz w:val="24"/>
          <w:szCs w:val="24"/>
        </w:rPr>
        <w:lastRenderedPageBreak/>
        <w:t xml:space="preserve">определенного настоящей Методикой, то </w:t>
      </w:r>
      <w:r w:rsidRPr="0043196E">
        <w:rPr>
          <w:rFonts w:ascii="Times New Roman" w:hAnsi="Times New Roman" w:cs="Times New Roman"/>
          <w:b/>
          <w:sz w:val="24"/>
          <w:szCs w:val="24"/>
        </w:rPr>
        <w:t>формирование Экспертом письменного заключения</w:t>
      </w:r>
      <w:r w:rsidRPr="0043196E">
        <w:rPr>
          <w:rFonts w:ascii="Times New Roman" w:hAnsi="Times New Roman" w:cs="Times New Roman"/>
          <w:sz w:val="24"/>
          <w:szCs w:val="24"/>
        </w:rPr>
        <w:t xml:space="preserve"> с указанием факторов, повлиявших на итоговую оценку, </w:t>
      </w:r>
      <w:r w:rsidRPr="0043196E">
        <w:rPr>
          <w:rFonts w:ascii="Times New Roman" w:hAnsi="Times New Roman" w:cs="Times New Roman"/>
          <w:b/>
          <w:sz w:val="24"/>
          <w:szCs w:val="24"/>
        </w:rPr>
        <w:t>является обязательным</w:t>
      </w:r>
      <w:r w:rsidRPr="0043196E">
        <w:rPr>
          <w:rFonts w:ascii="Times New Roman" w:hAnsi="Times New Roman" w:cs="Times New Roman"/>
          <w:sz w:val="24"/>
          <w:szCs w:val="24"/>
        </w:rPr>
        <w:t>.</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В случае если компания, являющаяся участником конкурентной закупочной процедуры, входит в группу компаний, о которой достоверно известно, что данная группа обладает достаточной финансовой устойчивостью (что подтверждено международным кредитным рейтингом на уровне или выше BB- по шкале Fitch/S&amp;P или Ba3 по шкале Moody’s) допускается экспертно повышать</w:t>
      </w:r>
      <w:r w:rsidRPr="0043196E">
        <w:rPr>
          <w:rFonts w:ascii="Times New Roman" w:hAnsi="Times New Roman" w:cs="Times New Roman"/>
          <w:b/>
          <w:sz w:val="24"/>
          <w:szCs w:val="24"/>
        </w:rPr>
        <w:t xml:space="preserve"> итоговую оценку участника закупочной процедуры более чем на 1 балл</w:t>
      </w:r>
      <w:r w:rsidRPr="0043196E">
        <w:rPr>
          <w:rFonts w:ascii="Times New Roman" w:hAnsi="Times New Roman" w:cs="Times New Roman"/>
          <w:sz w:val="24"/>
          <w:szCs w:val="24"/>
        </w:rPr>
        <w:t xml:space="preserve"> по пятибалльной шкале. Итоговая оценка в случае применения такой корректировки не должна превышать трех баллов по пятибалльной шкале. Принадлежность участника к указанной группе подтверждается предоставлением консолидированной финансовой отчетности по МСФО за последний завершенный финансовый год;</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Когда в качестве участника закупочной процедуры выступает консорциум, состоящий из двух или более различных компаний, либо при оказании услуг / осуществлении поставки планируется привлечение субподрядчика или нескольких субподрядчиков, итоговая оценка в рамках финансово-экономической экспертизы формируется как сумма оценок всех участников консорциума или основного участника и его субподрядчиков, взвешенная по планируемой доле их участия в соответствии с предоставленным планом распределения работ;</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В случаях, когда невозможно провести оценку участников в соответствии с набором критериев, сформулированных в Методике, по причине особенной формы составления бухгалтерской отчетности оцениваемых компаний (примерами таких случаев являются отдельные группы юридических лиц, являющихся коммерческими организациями (банки, страховые компании, другие финансовые организации и т.д.); юридические лица, являющиеся некоммерческими организациями и др.) эксперт вправе изменить набор и степень значимости финансово-экономических критериев с отражением внесенных изменений в экспертном заключении.</w:t>
      </w:r>
    </w:p>
    <w:p w:rsidR="0043196E" w:rsidRPr="0043196E" w:rsidRDefault="0043196E" w:rsidP="0043196E">
      <w:pPr>
        <w:ind w:left="-567"/>
        <w:jc w:val="right"/>
        <w:rPr>
          <w:rFonts w:ascii="Times New Roman" w:hAnsi="Times New Roman" w:cs="Times New Roman"/>
          <w:sz w:val="24"/>
          <w:szCs w:val="24"/>
        </w:rPr>
      </w:pPr>
      <w:r w:rsidRPr="0043196E">
        <w:rPr>
          <w:rFonts w:ascii="Times New Roman" w:hAnsi="Times New Roman" w:cs="Times New Roman"/>
          <w:sz w:val="24"/>
          <w:szCs w:val="24"/>
        </w:rPr>
        <w:t>Таблица Алгоритм принятия решения</w:t>
      </w:r>
    </w:p>
    <w:tbl>
      <w:tblPr>
        <w:tblW w:w="991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7"/>
        <w:gridCol w:w="6224"/>
      </w:tblGrid>
      <w:tr w:rsidR="0043196E" w:rsidRPr="0043196E" w:rsidTr="00906887">
        <w:trPr>
          <w:trHeight w:val="503"/>
        </w:trPr>
        <w:tc>
          <w:tcPr>
            <w:tcW w:w="3687" w:type="dxa"/>
            <w:shd w:val="clear" w:color="auto" w:fill="auto"/>
            <w:vAlign w:val="center"/>
          </w:tcPr>
          <w:p w:rsidR="0043196E" w:rsidRPr="0043196E" w:rsidRDefault="0043196E" w:rsidP="00906887">
            <w:pPr>
              <w:ind w:left="-108"/>
              <w:jc w:val="center"/>
              <w:rPr>
                <w:rFonts w:ascii="Times New Roman" w:hAnsi="Times New Roman" w:cs="Times New Roman"/>
                <w:b/>
                <w:color w:val="000000"/>
                <w:sz w:val="24"/>
                <w:szCs w:val="24"/>
              </w:rPr>
            </w:pPr>
            <w:r w:rsidRPr="0043196E">
              <w:rPr>
                <w:rFonts w:ascii="Times New Roman" w:hAnsi="Times New Roman" w:cs="Times New Roman"/>
                <w:b/>
                <w:color w:val="000000"/>
                <w:sz w:val="24"/>
                <w:szCs w:val="24"/>
              </w:rPr>
              <w:t>Варианты автоматического решения</w:t>
            </w:r>
          </w:p>
        </w:tc>
        <w:tc>
          <w:tcPr>
            <w:tcW w:w="6224" w:type="dxa"/>
            <w:shd w:val="clear" w:color="auto" w:fill="auto"/>
            <w:vAlign w:val="center"/>
          </w:tcPr>
          <w:p w:rsidR="0043196E" w:rsidRPr="0043196E" w:rsidRDefault="0043196E" w:rsidP="00906887">
            <w:pPr>
              <w:ind w:left="-108"/>
              <w:jc w:val="center"/>
              <w:rPr>
                <w:rFonts w:ascii="Times New Roman" w:hAnsi="Times New Roman" w:cs="Times New Roman"/>
                <w:b/>
                <w:color w:val="000000"/>
                <w:sz w:val="24"/>
                <w:szCs w:val="24"/>
              </w:rPr>
            </w:pPr>
            <w:r w:rsidRPr="0043196E">
              <w:rPr>
                <w:rFonts w:ascii="Times New Roman" w:hAnsi="Times New Roman" w:cs="Times New Roman"/>
                <w:b/>
                <w:color w:val="000000"/>
                <w:sz w:val="24"/>
                <w:szCs w:val="24"/>
              </w:rPr>
              <w:t>Описание и действия Эксперта</w:t>
            </w:r>
          </w:p>
        </w:tc>
      </w:tr>
      <w:tr w:rsidR="0043196E" w:rsidRPr="0043196E" w:rsidTr="00906887">
        <w:trPr>
          <w:trHeight w:val="445"/>
        </w:trPr>
        <w:tc>
          <w:tcPr>
            <w:tcW w:w="3687" w:type="dxa"/>
            <w:shd w:val="clear" w:color="auto" w:fill="auto"/>
            <w:vAlign w:val="center"/>
          </w:tcPr>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Занести данные отчетности</w:t>
            </w:r>
          </w:p>
        </w:tc>
        <w:tc>
          <w:tcPr>
            <w:tcW w:w="6224" w:type="dxa"/>
            <w:shd w:val="clear" w:color="auto" w:fill="auto"/>
          </w:tcPr>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t>Надпись возникает, когда не занесены данные бухгалтерской отчетности</w:t>
            </w:r>
          </w:p>
        </w:tc>
      </w:tr>
      <w:tr w:rsidR="0043196E" w:rsidRPr="0043196E" w:rsidTr="00906887">
        <w:trPr>
          <w:trHeight w:val="885"/>
        </w:trPr>
        <w:tc>
          <w:tcPr>
            <w:tcW w:w="3687" w:type="dxa"/>
            <w:shd w:val="clear" w:color="auto" w:fill="auto"/>
            <w:vAlign w:val="center"/>
          </w:tcPr>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Автоматическое принятие решения</w:t>
            </w:r>
          </w:p>
        </w:tc>
        <w:tc>
          <w:tcPr>
            <w:tcW w:w="6224" w:type="dxa"/>
            <w:shd w:val="clear" w:color="auto" w:fill="auto"/>
          </w:tcPr>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t>Надпись возникает, когда данные бухгалтерской отчетности занесены в соответствующие ячейки шаблона (файл Excel), однако остальные обязательные для заполнения ячейки пусты (отсутствуют регистрационные данные, не указана сумма планируемого договора или не заполнено поле с суммой задолженности по начисленным налогам, сборам и иным обязательным платежам). Надпись также может возникнуть в случае, если не полностью или не верно проставлены галочки в полях, предусмотренных для качественной оценки бизнес-рисков</w:t>
            </w:r>
          </w:p>
        </w:tc>
      </w:tr>
      <w:tr w:rsidR="0043196E" w:rsidRPr="0043196E" w:rsidTr="00906887">
        <w:trPr>
          <w:trHeight w:val="870"/>
        </w:trPr>
        <w:tc>
          <w:tcPr>
            <w:tcW w:w="3687" w:type="dxa"/>
            <w:shd w:val="clear" w:color="000000" w:fill="FFE5E5"/>
            <w:vAlign w:val="center"/>
          </w:tcPr>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Не соответствует (0)</w:t>
            </w:r>
          </w:p>
        </w:tc>
        <w:tc>
          <w:tcPr>
            <w:tcW w:w="6224" w:type="dxa"/>
            <w:shd w:val="clear" w:color="000000" w:fill="FFE5E5"/>
          </w:tcPr>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t xml:space="preserve">Такое автоматическое решение возникает в ситуации, когда компания-участница закупочной процедуры, будучи оценена согласно балльно-весового подхода, набирает </w:t>
            </w:r>
            <w:r w:rsidRPr="0043196E">
              <w:rPr>
                <w:rFonts w:ascii="Times New Roman" w:hAnsi="Times New Roman" w:cs="Times New Roman"/>
                <w:color w:val="000000"/>
                <w:sz w:val="24"/>
                <w:szCs w:val="24"/>
              </w:rPr>
              <w:lastRenderedPageBreak/>
              <w:t>менее 0,45 баллов по шкале от 0 до 1.</w:t>
            </w:r>
          </w:p>
          <w:p w:rsidR="0043196E" w:rsidRPr="0043196E" w:rsidRDefault="0043196E" w:rsidP="00906887">
            <w:pPr>
              <w:ind w:left="-108"/>
              <w:jc w:val="both"/>
              <w:rPr>
                <w:rFonts w:ascii="Times New Roman" w:hAnsi="Times New Roman" w:cs="Times New Roman"/>
                <w:i/>
                <w:color w:val="000000"/>
                <w:sz w:val="24"/>
                <w:szCs w:val="24"/>
              </w:rPr>
            </w:pPr>
            <w:r w:rsidRPr="0043196E">
              <w:rPr>
                <w:rFonts w:ascii="Times New Roman" w:hAnsi="Times New Roman" w:cs="Times New Roman"/>
                <w:b/>
                <w:i/>
                <w:color w:val="000000"/>
                <w:sz w:val="24"/>
                <w:szCs w:val="24"/>
              </w:rPr>
              <w:t xml:space="preserve">Действия Эксперта: </w:t>
            </w:r>
            <w:r w:rsidRPr="0043196E">
              <w:rPr>
                <w:rFonts w:ascii="Times New Roman" w:hAnsi="Times New Roman" w:cs="Times New Roman"/>
                <w:i/>
                <w:color w:val="000000"/>
                <w:sz w:val="24"/>
                <w:szCs w:val="24"/>
              </w:rPr>
              <w:t>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rsidR="0043196E" w:rsidRPr="0043196E" w:rsidTr="00906887">
        <w:trPr>
          <w:trHeight w:val="850"/>
        </w:trPr>
        <w:tc>
          <w:tcPr>
            <w:tcW w:w="3687" w:type="dxa"/>
            <w:shd w:val="clear" w:color="000000" w:fill="FFE5E5"/>
            <w:vAlign w:val="center"/>
          </w:tcPr>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lastRenderedPageBreak/>
              <w:t>Не соответствует (0) имеются стоп-факторы</w:t>
            </w:r>
          </w:p>
        </w:tc>
        <w:tc>
          <w:tcPr>
            <w:tcW w:w="6224" w:type="dxa"/>
            <w:shd w:val="clear" w:color="000000" w:fill="FFE5E5"/>
          </w:tcPr>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t>Надпись возникает, когда независимо от набранного количества баллов по шкале от 0 до 1 для оцениваемой компании реализуется хотя бы один из стоп-факторов</w:t>
            </w:r>
          </w:p>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b/>
                <w:i/>
                <w:color w:val="000000"/>
                <w:sz w:val="24"/>
                <w:szCs w:val="24"/>
              </w:rPr>
              <w:t xml:space="preserve">Действия Эксперта: </w:t>
            </w:r>
            <w:r w:rsidRPr="0043196E">
              <w:rPr>
                <w:rFonts w:ascii="Times New Roman" w:hAnsi="Times New Roman" w:cs="Times New Roman"/>
                <w:i/>
                <w:color w:val="000000"/>
                <w:sz w:val="24"/>
                <w:szCs w:val="24"/>
              </w:rPr>
              <w:t>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rsidR="0043196E" w:rsidRPr="0043196E" w:rsidTr="00906887">
        <w:trPr>
          <w:trHeight w:val="765"/>
        </w:trPr>
        <w:tc>
          <w:tcPr>
            <w:tcW w:w="3687" w:type="dxa"/>
            <w:shd w:val="clear" w:color="000000" w:fill="F8FFB9"/>
            <w:vAlign w:val="center"/>
          </w:tcPr>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Необходимо участие эксперта (0)</w:t>
            </w:r>
          </w:p>
          <w:p w:rsidR="0043196E" w:rsidRPr="0043196E" w:rsidRDefault="0043196E" w:rsidP="00906887">
            <w:pPr>
              <w:ind w:left="-108"/>
              <w:rPr>
                <w:rFonts w:ascii="Times New Roman" w:hAnsi="Times New Roman" w:cs="Times New Roman"/>
                <w:i/>
                <w:color w:val="000000"/>
                <w:sz w:val="24"/>
                <w:szCs w:val="24"/>
              </w:rPr>
            </w:pPr>
          </w:p>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Необходимо участие эксперта (0) имеются риск-факторы</w:t>
            </w:r>
          </w:p>
        </w:tc>
        <w:tc>
          <w:tcPr>
            <w:tcW w:w="6224" w:type="dxa"/>
            <w:shd w:val="clear" w:color="000000" w:fill="F8FFB9"/>
          </w:tcPr>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t>Такое автоматическое решение соответствует ситуации, когда компания-участница закупочной процедуры набирает от 0,45 до 0,5 баллов по шкале от 0 до 1 (пограничная ситуация). При этом имеется не более двух риск-факторов.</w:t>
            </w:r>
          </w:p>
          <w:p w:rsidR="0043196E" w:rsidRPr="0043196E" w:rsidRDefault="0043196E" w:rsidP="00906887">
            <w:pPr>
              <w:ind w:left="-108"/>
              <w:jc w:val="both"/>
              <w:rPr>
                <w:rFonts w:ascii="Times New Roman" w:hAnsi="Times New Roman" w:cs="Times New Roman"/>
                <w:i/>
                <w:color w:val="000000"/>
                <w:sz w:val="24"/>
                <w:szCs w:val="24"/>
              </w:rPr>
            </w:pPr>
            <w:r w:rsidRPr="0043196E">
              <w:rPr>
                <w:rFonts w:ascii="Times New Roman" w:hAnsi="Times New Roman" w:cs="Times New Roman"/>
                <w:b/>
                <w:i/>
                <w:color w:val="000000"/>
                <w:sz w:val="24"/>
                <w:szCs w:val="24"/>
              </w:rPr>
              <w:t xml:space="preserve">Действия Эксперта: </w:t>
            </w:r>
            <w:r w:rsidRPr="0043196E">
              <w:rPr>
                <w:rFonts w:ascii="Times New Roman" w:hAnsi="Times New Roman" w:cs="Times New Roman"/>
                <w:i/>
                <w:color w:val="000000"/>
                <w:sz w:val="24"/>
                <w:szCs w:val="24"/>
              </w:rPr>
              <w:t>на отборочной стадии</w:t>
            </w:r>
            <w:r w:rsidRPr="0043196E">
              <w:rPr>
                <w:rFonts w:ascii="Times New Roman" w:hAnsi="Times New Roman" w:cs="Times New Roman"/>
                <w:b/>
                <w:i/>
                <w:color w:val="000000"/>
                <w:sz w:val="24"/>
                <w:szCs w:val="24"/>
              </w:rPr>
              <w:t xml:space="preserve"> </w:t>
            </w:r>
            <w:r w:rsidRPr="0043196E">
              <w:rPr>
                <w:rFonts w:ascii="Times New Roman" w:hAnsi="Times New Roman" w:cs="Times New Roman"/>
                <w:i/>
                <w:color w:val="000000"/>
                <w:sz w:val="24"/>
                <w:szCs w:val="24"/>
              </w:rPr>
              <w:t>в пограничной ситуации</w:t>
            </w:r>
            <w:r w:rsidRPr="0043196E">
              <w:rPr>
                <w:rFonts w:ascii="Times New Roman" w:hAnsi="Times New Roman" w:cs="Times New Roman"/>
                <w:b/>
                <w:i/>
                <w:color w:val="000000"/>
                <w:sz w:val="24"/>
                <w:szCs w:val="24"/>
              </w:rPr>
              <w:t xml:space="preserve"> </w:t>
            </w:r>
            <w:r w:rsidRPr="0043196E">
              <w:rPr>
                <w:rFonts w:ascii="Times New Roman" w:hAnsi="Times New Roman" w:cs="Times New Roman"/>
                <w:i/>
                <w:color w:val="000000"/>
                <w:sz w:val="24"/>
                <w:szCs w:val="24"/>
              </w:rPr>
              <w:t>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не должна превышать 1 по пятибалльной шкале, если иное специально не оговорено в Методике (минимально допустимый уровень)</w:t>
            </w:r>
          </w:p>
        </w:tc>
      </w:tr>
      <w:tr w:rsidR="0043196E" w:rsidRPr="0043196E" w:rsidTr="00906887">
        <w:trPr>
          <w:trHeight w:val="712"/>
        </w:trPr>
        <w:tc>
          <w:tcPr>
            <w:tcW w:w="3687" w:type="dxa"/>
            <w:shd w:val="clear" w:color="000000" w:fill="F8FFB9"/>
            <w:vAlign w:val="center"/>
          </w:tcPr>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 xml:space="preserve">Необходимо участие эксперта (оценка 1-5) более двух риск </w:t>
            </w:r>
            <w:r w:rsidRPr="0043196E">
              <w:rPr>
                <w:rFonts w:ascii="Times New Roman" w:hAnsi="Times New Roman" w:cs="Times New Roman"/>
                <w:i/>
                <w:color w:val="000000"/>
                <w:sz w:val="24"/>
                <w:szCs w:val="24"/>
              </w:rPr>
              <w:lastRenderedPageBreak/>
              <w:t>факторов</w:t>
            </w:r>
          </w:p>
        </w:tc>
        <w:tc>
          <w:tcPr>
            <w:tcW w:w="6224" w:type="dxa"/>
            <w:shd w:val="clear" w:color="000000" w:fill="F8FFB9"/>
          </w:tcPr>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lastRenderedPageBreak/>
              <w:t xml:space="preserve">Надпись возникает, когда независимо от набранного количества баллов по шкале от 0 до 1 для оцениваемой </w:t>
            </w:r>
            <w:r w:rsidRPr="0043196E">
              <w:rPr>
                <w:rFonts w:ascii="Times New Roman" w:hAnsi="Times New Roman" w:cs="Times New Roman"/>
                <w:color w:val="000000"/>
                <w:sz w:val="24"/>
                <w:szCs w:val="24"/>
              </w:rPr>
              <w:lastRenderedPageBreak/>
              <w:t>компании реализуется более двух риск факторов</w:t>
            </w:r>
          </w:p>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b/>
                <w:i/>
                <w:color w:val="000000"/>
                <w:sz w:val="24"/>
                <w:szCs w:val="24"/>
              </w:rPr>
              <w:t xml:space="preserve">Действия Эксперта: </w:t>
            </w:r>
            <w:r w:rsidRPr="0043196E">
              <w:rPr>
                <w:rFonts w:ascii="Times New Roman" w:hAnsi="Times New Roman" w:cs="Times New Roman"/>
                <w:i/>
                <w:color w:val="000000"/>
                <w:sz w:val="24"/>
                <w:szCs w:val="24"/>
              </w:rPr>
              <w:t>в случае большого количества (более двух) риск-факторов 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если иное специально не оговорено в Методике, не должна превышать 1 по пятибалльной шкале (минимально допустимый уровень)</w:t>
            </w:r>
          </w:p>
        </w:tc>
      </w:tr>
      <w:tr w:rsidR="0043196E" w:rsidRPr="0043196E" w:rsidTr="00906887">
        <w:trPr>
          <w:trHeight w:val="2440"/>
        </w:trPr>
        <w:tc>
          <w:tcPr>
            <w:tcW w:w="3687" w:type="dxa"/>
            <w:shd w:val="clear" w:color="000000" w:fill="C6FED1"/>
            <w:vAlign w:val="center"/>
          </w:tcPr>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lastRenderedPageBreak/>
              <w:t>Соответствует (оценка 1-5) имеются риск-факторы</w:t>
            </w:r>
          </w:p>
          <w:p w:rsidR="0043196E" w:rsidRPr="0043196E" w:rsidRDefault="0043196E" w:rsidP="00906887">
            <w:pPr>
              <w:ind w:left="-108"/>
              <w:rPr>
                <w:rFonts w:ascii="Times New Roman" w:hAnsi="Times New Roman" w:cs="Times New Roman"/>
                <w:i/>
                <w:color w:val="000000"/>
                <w:sz w:val="24"/>
                <w:szCs w:val="24"/>
              </w:rPr>
            </w:pPr>
          </w:p>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Соответствует (оценка 1-5)</w:t>
            </w:r>
          </w:p>
        </w:tc>
        <w:tc>
          <w:tcPr>
            <w:tcW w:w="6224" w:type="dxa"/>
            <w:shd w:val="clear" w:color="000000" w:fill="C6FED1"/>
          </w:tcPr>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t>Компания-участница закупочной процедуры набирает более 0,5 баллов по шкале от 0 до 1. При этом имеется не более двух риск-факторов. Далее все компании, набравшие более 0,5 баллов по шкале от 0 до 1 (по которым принято положительное решение на отборочной стадии) ранжируются с присвоением оценки по пятибалльной шкале от 1 до 5. В настоящей методике ранжир осуществляется равномерным переводом первичной шкалы от 0,5 до 1 в шкалу от 1 до 5.</w:t>
            </w:r>
          </w:p>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b/>
                <w:i/>
                <w:color w:val="000000"/>
                <w:sz w:val="24"/>
                <w:szCs w:val="24"/>
              </w:rPr>
              <w:t xml:space="preserve">Действия Эксперта: </w:t>
            </w:r>
            <w:r w:rsidRPr="0043196E">
              <w:rPr>
                <w:rFonts w:ascii="Times New Roman" w:hAnsi="Times New Roman" w:cs="Times New Roman"/>
                <w:i/>
                <w:color w:val="000000"/>
                <w:sz w:val="24"/>
                <w:szCs w:val="24"/>
              </w:rPr>
              <w:t>в такой ситуации на отборочной стадии Эксперт не может изменить автоматически принятое решение о соответствии, однако за ним остается право при необходимости скорректировать итоговую оценку не более чем на 1 балл по пятибалльной шкале, при условии, что с учетом корректировки итоговая оценка будет находиться в пределах от 1 до 5</w:t>
            </w:r>
          </w:p>
        </w:tc>
      </w:tr>
    </w:tbl>
    <w:p w:rsidR="0043196E" w:rsidRPr="0043196E" w:rsidRDefault="0043196E" w:rsidP="0043196E">
      <w:pPr>
        <w:numPr>
          <w:ilvl w:val="0"/>
          <w:numId w:val="16"/>
        </w:numPr>
        <w:spacing w:after="0" w:line="240" w:lineRule="auto"/>
        <w:ind w:left="-567"/>
        <w:jc w:val="both"/>
        <w:rPr>
          <w:rFonts w:ascii="Times New Roman" w:hAnsi="Times New Roman" w:cs="Times New Roman"/>
          <w:b/>
          <w:bCs/>
          <w:sz w:val="24"/>
          <w:szCs w:val="24"/>
        </w:rPr>
      </w:pPr>
      <w:bookmarkStart w:id="91" w:name="_Toc322961189"/>
      <w:bookmarkStart w:id="92" w:name="_Toc326066024"/>
      <w:bookmarkStart w:id="93" w:name="_Toc326066294"/>
      <w:r w:rsidRPr="0043196E">
        <w:rPr>
          <w:rFonts w:ascii="Times New Roman" w:hAnsi="Times New Roman" w:cs="Times New Roman"/>
          <w:b/>
          <w:bCs/>
          <w:sz w:val="24"/>
          <w:szCs w:val="24"/>
        </w:rPr>
        <w:t xml:space="preserve">Проведение финансово-экономической экспертизы участников закупочных процедур, применяющих упрощенную систему налогообложения (УСН) </w:t>
      </w:r>
      <w:bookmarkEnd w:id="91"/>
      <w:r w:rsidRPr="0043196E">
        <w:rPr>
          <w:rFonts w:ascii="Times New Roman" w:hAnsi="Times New Roman" w:cs="Times New Roman"/>
          <w:b/>
          <w:bCs/>
          <w:sz w:val="24"/>
          <w:szCs w:val="24"/>
        </w:rPr>
        <w:t>и индивидуальных предпринимателей</w:t>
      </w:r>
      <w:bookmarkEnd w:id="92"/>
      <w:bookmarkEnd w:id="93"/>
    </w:p>
    <w:p w:rsidR="0043196E" w:rsidRPr="0043196E" w:rsidRDefault="0043196E" w:rsidP="0043196E">
      <w:pPr>
        <w:numPr>
          <w:ilvl w:val="1"/>
          <w:numId w:val="16"/>
        </w:numPr>
        <w:spacing w:after="0" w:line="240" w:lineRule="auto"/>
        <w:ind w:left="-567"/>
        <w:jc w:val="both"/>
        <w:rPr>
          <w:rFonts w:ascii="Times New Roman" w:hAnsi="Times New Roman" w:cs="Times New Roman"/>
          <w:bCs/>
          <w:sz w:val="24"/>
          <w:szCs w:val="24"/>
        </w:rPr>
      </w:pPr>
      <w:bookmarkStart w:id="94" w:name="_Toc322961190"/>
      <w:bookmarkStart w:id="95" w:name="_Toc326066025"/>
      <w:bookmarkStart w:id="96" w:name="_Toc326066295"/>
      <w:r w:rsidRPr="0043196E">
        <w:rPr>
          <w:rFonts w:ascii="Times New Roman" w:hAnsi="Times New Roman" w:cs="Times New Roman"/>
          <w:bCs/>
          <w:sz w:val="24"/>
          <w:szCs w:val="24"/>
        </w:rPr>
        <w:t>В случае если в соответствии с требованиями государственных нормативных документов, участники конкурентных закупочных процедур, применяющие упрощенную систему налогообложения, обязаны формировать бухгалтерскую отчетность (в формате ф.1 и ф.2,, специально предусмотренном для субъектов малого предпринимательства) экспертиза финансово-экономической устойчивости участников должна проводиться на основании этой отчетности в соответствии с Методикой.</w:t>
      </w:r>
    </w:p>
    <w:p w:rsidR="0043196E" w:rsidRPr="0043196E" w:rsidRDefault="0043196E" w:rsidP="0043196E">
      <w:pPr>
        <w:numPr>
          <w:ilvl w:val="1"/>
          <w:numId w:val="16"/>
        </w:numPr>
        <w:spacing w:after="0" w:line="240" w:lineRule="auto"/>
        <w:ind w:left="-567"/>
        <w:jc w:val="both"/>
        <w:rPr>
          <w:rFonts w:ascii="Times New Roman" w:hAnsi="Times New Roman" w:cs="Times New Roman"/>
          <w:bCs/>
          <w:sz w:val="24"/>
          <w:szCs w:val="24"/>
        </w:rPr>
      </w:pPr>
      <w:r w:rsidRPr="0043196E">
        <w:rPr>
          <w:rFonts w:ascii="Times New Roman" w:hAnsi="Times New Roman" w:cs="Times New Roman"/>
          <w:bCs/>
          <w:sz w:val="24"/>
          <w:szCs w:val="24"/>
        </w:rPr>
        <w:t xml:space="preserve">В случае если подготовка и подача в налоговый орган бухгалтерской отчетности в соответствие с формой № 1 (бухгалтерский баланс) и формой № 2 (отчет о прибылях и убытках) не является обязательной для компаний, применяющих упрощенную систему налогообложения, или индивидуальных предпринимателей, то для них невозможно рассчитать финансовые коэффициенты и провести объемлющий анализ финансовой устойчивости - оценка таких </w:t>
      </w:r>
      <w:r w:rsidRPr="0043196E">
        <w:rPr>
          <w:rFonts w:ascii="Times New Roman" w:hAnsi="Times New Roman" w:cs="Times New Roman"/>
          <w:bCs/>
          <w:sz w:val="24"/>
          <w:szCs w:val="24"/>
        </w:rPr>
        <w:lastRenderedPageBreak/>
        <w:t>компаний в рамках проведения финансово-экономической экспертизы осуществляется экспертно с учетом п.п. 4.3.-4.5.</w:t>
      </w:r>
      <w:bookmarkEnd w:id="94"/>
      <w:bookmarkEnd w:id="95"/>
      <w:bookmarkEnd w:id="96"/>
    </w:p>
    <w:p w:rsidR="0043196E" w:rsidRPr="0043196E" w:rsidRDefault="0043196E" w:rsidP="0043196E">
      <w:pPr>
        <w:numPr>
          <w:ilvl w:val="1"/>
          <w:numId w:val="16"/>
        </w:numPr>
        <w:spacing w:after="0" w:line="240" w:lineRule="auto"/>
        <w:ind w:left="-567"/>
        <w:jc w:val="both"/>
        <w:rPr>
          <w:rFonts w:ascii="Times New Roman" w:hAnsi="Times New Roman" w:cs="Times New Roman"/>
          <w:bCs/>
          <w:sz w:val="24"/>
          <w:szCs w:val="24"/>
        </w:rPr>
      </w:pPr>
      <w:bookmarkStart w:id="97" w:name="_Toc322961191"/>
      <w:bookmarkStart w:id="98" w:name="_Toc326066026"/>
      <w:bookmarkStart w:id="99" w:name="_Toc326066296"/>
      <w:r w:rsidRPr="0043196E">
        <w:rPr>
          <w:rFonts w:ascii="Times New Roman" w:hAnsi="Times New Roman" w:cs="Times New Roman"/>
          <w:bCs/>
          <w:sz w:val="24"/>
          <w:szCs w:val="24"/>
        </w:rPr>
        <w:t>Решение о прохождении компанией, применяющей УСН (в условиях отсутствия бухгалтерской отчетности) или индивидуального предпринимателя, отборочной стадии может быть принято только при одновременном выполнении следующих критериев:</w:t>
      </w:r>
      <w:bookmarkEnd w:id="97"/>
      <w:bookmarkEnd w:id="98"/>
      <w:bookmarkEnd w:id="99"/>
    </w:p>
    <w:p w:rsidR="0043196E" w:rsidRPr="0043196E" w:rsidRDefault="0043196E" w:rsidP="0043196E">
      <w:pPr>
        <w:numPr>
          <w:ilvl w:val="0"/>
          <w:numId w:val="21"/>
        </w:numPr>
        <w:spacing w:after="0" w:line="240" w:lineRule="auto"/>
        <w:ind w:left="-567" w:firstLine="0"/>
        <w:jc w:val="both"/>
        <w:rPr>
          <w:rFonts w:ascii="Times New Roman" w:hAnsi="Times New Roman" w:cs="Times New Roman"/>
          <w:bCs/>
          <w:sz w:val="24"/>
          <w:szCs w:val="24"/>
        </w:rPr>
      </w:pPr>
      <w:bookmarkStart w:id="100" w:name="_Toc322961192"/>
      <w:bookmarkStart w:id="101" w:name="_Toc326066027"/>
      <w:bookmarkStart w:id="102" w:name="_Toc326066297"/>
      <w:r w:rsidRPr="0043196E">
        <w:rPr>
          <w:rFonts w:ascii="Times New Roman" w:hAnsi="Times New Roman" w:cs="Times New Roman"/>
          <w:bCs/>
          <w:sz w:val="24"/>
          <w:szCs w:val="24"/>
        </w:rPr>
        <w:t>срок существования не менее 3 лет;</w:t>
      </w:r>
      <w:bookmarkEnd w:id="100"/>
      <w:bookmarkEnd w:id="101"/>
      <w:bookmarkEnd w:id="102"/>
    </w:p>
    <w:p w:rsidR="0043196E" w:rsidRPr="0043196E" w:rsidRDefault="0043196E" w:rsidP="0043196E">
      <w:pPr>
        <w:numPr>
          <w:ilvl w:val="0"/>
          <w:numId w:val="21"/>
        </w:numPr>
        <w:spacing w:after="0" w:line="240" w:lineRule="auto"/>
        <w:ind w:left="-567" w:firstLine="0"/>
        <w:jc w:val="both"/>
        <w:rPr>
          <w:rFonts w:ascii="Times New Roman" w:hAnsi="Times New Roman" w:cs="Times New Roman"/>
          <w:bCs/>
          <w:sz w:val="24"/>
          <w:szCs w:val="24"/>
        </w:rPr>
      </w:pPr>
      <w:bookmarkStart w:id="103" w:name="_Toc322961193"/>
      <w:bookmarkStart w:id="104" w:name="_Toc326066028"/>
      <w:bookmarkStart w:id="105" w:name="_Toc326066298"/>
      <w:r w:rsidRPr="0043196E">
        <w:rPr>
          <w:rFonts w:ascii="Times New Roman" w:hAnsi="Times New Roman" w:cs="Times New Roman"/>
          <w:bCs/>
          <w:sz w:val="24"/>
          <w:szCs w:val="24"/>
        </w:rPr>
        <w:t>вид деятельности участника закупочной процедуры по классификации ОКВЭД совпадает с предметом закупки;</w:t>
      </w:r>
      <w:bookmarkEnd w:id="103"/>
      <w:bookmarkEnd w:id="104"/>
      <w:bookmarkEnd w:id="105"/>
    </w:p>
    <w:p w:rsidR="0043196E" w:rsidRPr="0043196E" w:rsidRDefault="0043196E" w:rsidP="0043196E">
      <w:pPr>
        <w:numPr>
          <w:ilvl w:val="0"/>
          <w:numId w:val="21"/>
        </w:numPr>
        <w:spacing w:after="0" w:line="240" w:lineRule="auto"/>
        <w:ind w:left="-567" w:firstLine="0"/>
        <w:jc w:val="both"/>
        <w:rPr>
          <w:rFonts w:ascii="Times New Roman" w:hAnsi="Times New Roman" w:cs="Times New Roman"/>
          <w:bCs/>
          <w:sz w:val="24"/>
          <w:szCs w:val="24"/>
        </w:rPr>
      </w:pPr>
      <w:bookmarkStart w:id="106" w:name="_Toc322961194"/>
      <w:bookmarkStart w:id="107" w:name="_Toc326066029"/>
      <w:bookmarkStart w:id="108" w:name="_Toc326066299"/>
      <w:r w:rsidRPr="0043196E">
        <w:rPr>
          <w:rFonts w:ascii="Times New Roman" w:hAnsi="Times New Roman" w:cs="Times New Roman"/>
          <w:bCs/>
          <w:sz w:val="24"/>
          <w:szCs w:val="24"/>
        </w:rPr>
        <w:t>компания имеет необходимые материально-технические и кадровые ресурсы (согласно предоставленным справкам);</w:t>
      </w:r>
      <w:bookmarkEnd w:id="106"/>
      <w:bookmarkEnd w:id="107"/>
      <w:bookmarkEnd w:id="108"/>
    </w:p>
    <w:p w:rsidR="0043196E" w:rsidRPr="0043196E" w:rsidRDefault="0043196E" w:rsidP="0043196E">
      <w:pPr>
        <w:numPr>
          <w:ilvl w:val="0"/>
          <w:numId w:val="21"/>
        </w:numPr>
        <w:spacing w:after="0" w:line="240" w:lineRule="auto"/>
        <w:ind w:left="-567" w:firstLine="0"/>
        <w:jc w:val="both"/>
        <w:rPr>
          <w:rFonts w:ascii="Times New Roman" w:hAnsi="Times New Roman" w:cs="Times New Roman"/>
          <w:bCs/>
          <w:sz w:val="24"/>
          <w:szCs w:val="24"/>
        </w:rPr>
      </w:pPr>
      <w:bookmarkStart w:id="109" w:name="_Toc322961195"/>
      <w:bookmarkStart w:id="110" w:name="_Toc326066030"/>
      <w:bookmarkStart w:id="111" w:name="_Toc326066300"/>
      <w:r w:rsidRPr="0043196E">
        <w:rPr>
          <w:rFonts w:ascii="Times New Roman" w:hAnsi="Times New Roman" w:cs="Times New Roman"/>
          <w:bCs/>
          <w:sz w:val="24"/>
          <w:szCs w:val="24"/>
        </w:rPr>
        <w:t>стоимость планируемой закупки без НДС не превышает 120% годового дохода (согласно налоговой декларации);</w:t>
      </w:r>
      <w:bookmarkEnd w:id="109"/>
      <w:bookmarkEnd w:id="110"/>
      <w:bookmarkEnd w:id="111"/>
    </w:p>
    <w:p w:rsidR="0043196E" w:rsidRPr="0043196E" w:rsidRDefault="0043196E" w:rsidP="0043196E">
      <w:pPr>
        <w:numPr>
          <w:ilvl w:val="0"/>
          <w:numId w:val="21"/>
        </w:numPr>
        <w:spacing w:after="0" w:line="240" w:lineRule="auto"/>
        <w:ind w:left="-567" w:firstLine="0"/>
        <w:jc w:val="both"/>
        <w:rPr>
          <w:rFonts w:ascii="Times New Roman" w:hAnsi="Times New Roman" w:cs="Times New Roman"/>
          <w:bCs/>
          <w:sz w:val="24"/>
          <w:szCs w:val="24"/>
        </w:rPr>
      </w:pPr>
      <w:r w:rsidRPr="0043196E">
        <w:rPr>
          <w:rFonts w:ascii="Times New Roman" w:hAnsi="Times New Roman" w:cs="Times New Roman"/>
          <w:bCs/>
          <w:sz w:val="24"/>
          <w:szCs w:val="24"/>
        </w:rPr>
        <w:t xml:space="preserve">отсутствует </w:t>
      </w:r>
      <w:r w:rsidRPr="0043196E">
        <w:rPr>
          <w:rFonts w:ascii="Times New Roman" w:hAnsi="Times New Roman" w:cs="Times New Roman"/>
          <w:sz w:val="24"/>
          <w:szCs w:val="24"/>
        </w:rPr>
        <w:t>задолженность по начисленным налогам, сборам и иным обязательным платежам</w:t>
      </w:r>
    </w:p>
    <w:p w:rsidR="0043196E" w:rsidRPr="0043196E" w:rsidRDefault="0043196E" w:rsidP="0043196E">
      <w:pPr>
        <w:numPr>
          <w:ilvl w:val="0"/>
          <w:numId w:val="21"/>
        </w:numPr>
        <w:spacing w:after="0" w:line="240" w:lineRule="auto"/>
        <w:ind w:left="-567" w:firstLine="0"/>
        <w:jc w:val="both"/>
        <w:rPr>
          <w:rFonts w:ascii="Times New Roman" w:hAnsi="Times New Roman" w:cs="Times New Roman"/>
          <w:bCs/>
          <w:sz w:val="24"/>
          <w:szCs w:val="24"/>
        </w:rPr>
      </w:pPr>
      <w:r w:rsidRPr="0043196E">
        <w:rPr>
          <w:rFonts w:ascii="Times New Roman" w:hAnsi="Times New Roman" w:cs="Times New Roman"/>
          <w:bCs/>
          <w:sz w:val="24"/>
          <w:szCs w:val="24"/>
        </w:rPr>
        <w:t>финансовые условия сделки не предусматривают выплату аванса, не покрытого банковской гарантией.</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bCs/>
          <w:sz w:val="24"/>
          <w:szCs w:val="24"/>
        </w:rPr>
        <w:t>За исключением случаев, описанных ниже в п. 4.5. несоответствие хотя бы по одному из перечисленных выше критериев должно являться основанием для отклонения предложения участника закупочной процедуры, применяющего УСН (в условиях отсутствия бухгалтерской отчетности) или индивидуального предпринимателя, на отборочной стадии.</w:t>
      </w:r>
    </w:p>
    <w:p w:rsidR="0043196E" w:rsidRPr="0043196E" w:rsidRDefault="0043196E" w:rsidP="0043196E">
      <w:pPr>
        <w:numPr>
          <w:ilvl w:val="1"/>
          <w:numId w:val="16"/>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 целью расширения доступа компаний, применяющих упрощенную систему налогообложения (УСН) и индивидуальных предпринимателей к участию в конкурентных закупочных процедурах, организованных Обществом, в случаях, когда не выполнен только критерий соответствия масштабов деятельности участника стоимости планируемой закупки, и при этом все остальные критерии выполнены, включая отсутствие аванса, разрешается для ограниченного перечня конкурентных закупочных процедур экспертно допускать участников до оценочной стадии. Итоговая оценка при этом не должна превышать 1 по пятибалльной шкале (минимально допустимый уровень). Перечень конкурентных закупочных процедур для которых применимы положения настоящего пункта ограничивается закупочными процедурами по перечисленным ниже статьям расходов Общества, плановая стоимость закупки по которым не превышает 30 млн. рублей без НДС:</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административно-хозяйственные расходы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охрана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консультационные и информационные расходы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аудит и оценка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юридические услуги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корпоративное управление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расходы на персонал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реклама и маркетинг (поставки и услуги).</w:t>
      </w:r>
    </w:p>
    <w:p w:rsidR="0043196E" w:rsidRPr="0043196E" w:rsidRDefault="0043196E" w:rsidP="0043196E">
      <w:pPr>
        <w:numPr>
          <w:ilvl w:val="1"/>
          <w:numId w:val="16"/>
        </w:numPr>
        <w:spacing w:after="0" w:line="240" w:lineRule="auto"/>
        <w:ind w:left="-567"/>
        <w:jc w:val="both"/>
        <w:rPr>
          <w:rStyle w:val="10"/>
          <w:rFonts w:ascii="Times New Roman" w:eastAsiaTheme="minorHAnsi" w:hAnsi="Times New Roman" w:cs="Times New Roman"/>
          <w:b w:val="0"/>
          <w:sz w:val="24"/>
          <w:szCs w:val="24"/>
        </w:rPr>
      </w:pPr>
      <w:bookmarkStart w:id="112" w:name="_Toc322961198"/>
      <w:bookmarkStart w:id="113" w:name="_Toc326066033"/>
      <w:bookmarkStart w:id="114" w:name="_Toc326066303"/>
      <w:r w:rsidRPr="0043196E">
        <w:rPr>
          <w:rFonts w:ascii="Times New Roman" w:hAnsi="Times New Roman" w:cs="Times New Roman"/>
          <w:bCs/>
          <w:sz w:val="24"/>
          <w:szCs w:val="24"/>
        </w:rPr>
        <w:t>При отсутствии данных бухгалтерской отчетности в рамках проведения финансово-экономической экспертизы на оценочной стадии, компании, применяющей УСН, или индивидуальному предпринимателю не может быть присвоена оценка выше 1 (минимально допустимый уровень).</w:t>
      </w:r>
      <w:bookmarkEnd w:id="112"/>
      <w:bookmarkEnd w:id="113"/>
      <w:bookmarkEnd w:id="114"/>
    </w:p>
    <w:p w:rsidR="0043196E" w:rsidRPr="0043196E" w:rsidRDefault="0043196E" w:rsidP="0043196E">
      <w:pPr>
        <w:rPr>
          <w:rStyle w:val="10"/>
          <w:rFonts w:ascii="Times New Roman" w:eastAsiaTheme="minorHAnsi" w:hAnsi="Times New Roman" w:cs="Times New Roman"/>
          <w:sz w:val="24"/>
          <w:szCs w:val="24"/>
        </w:rPr>
      </w:pPr>
      <w:bookmarkStart w:id="115" w:name="_Toc516132535"/>
      <w:bookmarkStart w:id="116" w:name="_Toc322961199"/>
      <w:bookmarkStart w:id="117" w:name="_Toc326066034"/>
      <w:bookmarkStart w:id="118" w:name="_Toc326066304"/>
      <w:bookmarkStart w:id="119" w:name="_Toc326067326"/>
      <w:r w:rsidRPr="0043196E">
        <w:rPr>
          <w:rStyle w:val="10"/>
          <w:rFonts w:ascii="Times New Roman" w:eastAsiaTheme="minorHAnsi" w:hAnsi="Times New Roman" w:cs="Times New Roman"/>
          <w:sz w:val="24"/>
          <w:szCs w:val="24"/>
        </w:rPr>
        <w:br w:type="page"/>
      </w:r>
    </w:p>
    <w:p w:rsidR="0043196E" w:rsidRPr="00072562" w:rsidRDefault="00072562" w:rsidP="00072562">
      <w:pPr>
        <w:pStyle w:val="2"/>
        <w:rPr>
          <w:rStyle w:val="10"/>
          <w:rFonts w:ascii="Times New Roman" w:eastAsiaTheme="minorHAnsi" w:hAnsi="Times New Roman" w:cs="Times New Roman"/>
          <w:b/>
          <w:sz w:val="24"/>
          <w:szCs w:val="24"/>
        </w:rPr>
      </w:pPr>
      <w:r>
        <w:rPr>
          <w:rStyle w:val="10"/>
          <w:rFonts w:ascii="Times New Roman" w:eastAsiaTheme="minorHAnsi" w:hAnsi="Times New Roman" w:cs="Times New Roman"/>
          <w:b/>
          <w:sz w:val="24"/>
          <w:szCs w:val="24"/>
        </w:rPr>
        <w:lastRenderedPageBreak/>
        <w:t xml:space="preserve">            </w:t>
      </w:r>
      <w:bookmarkStart w:id="120" w:name="_Toc519591616"/>
      <w:r w:rsidR="0043196E" w:rsidRPr="00072562">
        <w:rPr>
          <w:rStyle w:val="10"/>
          <w:rFonts w:ascii="Times New Roman" w:eastAsiaTheme="minorHAnsi" w:hAnsi="Times New Roman" w:cs="Times New Roman"/>
          <w:b/>
          <w:sz w:val="24"/>
          <w:szCs w:val="24"/>
        </w:rPr>
        <w:t>Приложение 3 Алгоритм действия Эксперта при подготовке заключения по направлению финансово-экономической экспертизы с использованием шаблона «Финэкспертиза_МСП.</w:t>
      </w:r>
      <w:r w:rsidR="0043196E" w:rsidRPr="00072562">
        <w:rPr>
          <w:rStyle w:val="10"/>
          <w:rFonts w:ascii="Times New Roman" w:eastAsiaTheme="minorHAnsi" w:hAnsi="Times New Roman" w:cs="Times New Roman"/>
          <w:b/>
          <w:sz w:val="24"/>
          <w:szCs w:val="24"/>
          <w:lang w:val="en-US"/>
        </w:rPr>
        <w:t>xls</w:t>
      </w:r>
      <w:r w:rsidR="0043196E" w:rsidRPr="00072562">
        <w:rPr>
          <w:rStyle w:val="10"/>
          <w:rFonts w:ascii="Times New Roman" w:eastAsiaTheme="minorHAnsi" w:hAnsi="Times New Roman" w:cs="Times New Roman"/>
          <w:b/>
          <w:sz w:val="24"/>
          <w:szCs w:val="24"/>
        </w:rPr>
        <w:t>» (по закупочным процедурам, участниками которых могут быть только субъекты малого и среднего предпринимательства)</w:t>
      </w:r>
      <w:bookmarkEnd w:id="115"/>
      <w:bookmarkEnd w:id="120"/>
      <w:r w:rsidR="0043196E" w:rsidRPr="00072562">
        <w:rPr>
          <w:rStyle w:val="af4"/>
          <w:b w:val="0"/>
          <w:bCs w:val="0"/>
        </w:rPr>
        <w:t xml:space="preserve"> </w:t>
      </w:r>
    </w:p>
    <w:p w:rsidR="0043196E" w:rsidRPr="0043196E" w:rsidRDefault="0043196E" w:rsidP="0043196E">
      <w:pPr>
        <w:ind w:left="-999"/>
        <w:rPr>
          <w:rFonts w:ascii="Times New Roman" w:hAnsi="Times New Roman" w:cs="Times New Roman"/>
          <w:b/>
          <w:bCs/>
          <w:kern w:val="32"/>
          <w:sz w:val="24"/>
          <w:szCs w:val="24"/>
        </w:rPr>
      </w:pPr>
    </w:p>
    <w:p w:rsidR="0043196E" w:rsidRPr="0043196E" w:rsidRDefault="0043196E" w:rsidP="0043196E">
      <w:pPr>
        <w:numPr>
          <w:ilvl w:val="0"/>
          <w:numId w:val="24"/>
        </w:numPr>
        <w:spacing w:after="0" w:line="240" w:lineRule="auto"/>
        <w:ind w:left="-567"/>
        <w:jc w:val="both"/>
        <w:rPr>
          <w:rFonts w:ascii="Times New Roman" w:hAnsi="Times New Roman" w:cs="Times New Roman"/>
          <w:b/>
          <w:sz w:val="24"/>
          <w:szCs w:val="24"/>
        </w:rPr>
      </w:pPr>
      <w:r w:rsidRPr="0043196E">
        <w:rPr>
          <w:rFonts w:ascii="Times New Roman" w:hAnsi="Times New Roman" w:cs="Times New Roman"/>
          <w:b/>
          <w:sz w:val="24"/>
          <w:szCs w:val="24"/>
        </w:rPr>
        <w:t>Формат заключения</w:t>
      </w:r>
    </w:p>
    <w:p w:rsidR="0043196E" w:rsidRPr="0043196E" w:rsidRDefault="0043196E" w:rsidP="0043196E">
      <w:pPr>
        <w:numPr>
          <w:ilvl w:val="1"/>
          <w:numId w:val="24"/>
        </w:numPr>
        <w:spacing w:after="0" w:line="240" w:lineRule="auto"/>
        <w:ind w:left="-567"/>
        <w:jc w:val="both"/>
        <w:rPr>
          <w:rFonts w:ascii="Times New Roman" w:hAnsi="Times New Roman" w:cs="Times New Roman"/>
          <w:b/>
          <w:sz w:val="24"/>
          <w:szCs w:val="24"/>
        </w:rPr>
      </w:pPr>
      <w:r w:rsidRPr="0043196E">
        <w:rPr>
          <w:rFonts w:ascii="Times New Roman" w:hAnsi="Times New Roman" w:cs="Times New Roman"/>
          <w:sz w:val="24"/>
          <w:szCs w:val="24"/>
        </w:rPr>
        <w:t>Для реализации подхода к проведению финансово-экономической экспертизы по закупочным процедурам, участниками которых могут быть только субъекты малого и среднего предпринимательства согласно Методике Финансово-экономическим центром ПАО «Интер РАО» разработан шаблон «Финэкспертиза_МСП.</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xml:space="preserve">» (файл в формате </w:t>
      </w:r>
      <w:r w:rsidRPr="0043196E">
        <w:rPr>
          <w:rFonts w:ascii="Times New Roman" w:hAnsi="Times New Roman" w:cs="Times New Roman"/>
          <w:sz w:val="24"/>
          <w:szCs w:val="24"/>
          <w:lang w:val="en-US"/>
        </w:rPr>
        <w:t>MS</w:t>
      </w:r>
      <w:r w:rsidRPr="0043196E">
        <w:rPr>
          <w:rFonts w:ascii="Times New Roman" w:hAnsi="Times New Roman" w:cs="Times New Roman"/>
          <w:sz w:val="24"/>
          <w:szCs w:val="24"/>
        </w:rPr>
        <w:t xml:space="preserve"> </w:t>
      </w:r>
      <w:r w:rsidRPr="0043196E">
        <w:rPr>
          <w:rFonts w:ascii="Times New Roman" w:hAnsi="Times New Roman" w:cs="Times New Roman"/>
          <w:sz w:val="24"/>
          <w:szCs w:val="24"/>
          <w:lang w:val="en-US"/>
        </w:rPr>
        <w:t>Excel</w:t>
      </w:r>
      <w:r w:rsidRPr="0043196E">
        <w:rPr>
          <w:rFonts w:ascii="Times New Roman" w:hAnsi="Times New Roman" w:cs="Times New Roman"/>
          <w:sz w:val="24"/>
          <w:szCs w:val="24"/>
        </w:rPr>
        <w:t>), куда внесены формулы для расчета финансовых показателей и весовые коэффициенты. В шаблоне также осуществляется расчет итогового показателя, используемого для ранжирования участников закупочной процедуры. Шаблон «Финэкспертиза_МСП.</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прикладывается к Методике.</w:t>
      </w:r>
    </w:p>
    <w:p w:rsidR="0043196E" w:rsidRPr="0043196E" w:rsidRDefault="0043196E" w:rsidP="0043196E">
      <w:pPr>
        <w:numPr>
          <w:ilvl w:val="1"/>
          <w:numId w:val="24"/>
        </w:numPr>
        <w:spacing w:after="0" w:line="240" w:lineRule="auto"/>
        <w:ind w:left="-567"/>
        <w:jc w:val="both"/>
        <w:rPr>
          <w:rFonts w:ascii="Times New Roman" w:hAnsi="Times New Roman" w:cs="Times New Roman"/>
          <w:b/>
          <w:sz w:val="24"/>
          <w:szCs w:val="24"/>
        </w:rPr>
      </w:pPr>
      <w:r w:rsidRPr="0043196E">
        <w:rPr>
          <w:rFonts w:ascii="Times New Roman" w:hAnsi="Times New Roman" w:cs="Times New Roman"/>
          <w:sz w:val="24"/>
          <w:szCs w:val="24"/>
        </w:rPr>
        <w:t>Заключение по направлению финансово-экономической экспертизы готовится Экспертом по форме, установленной в приложении 5. Формат таблицы в приложении полностью соответствует формату шаблона «Финэкспертиза_МСП.</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используемого для расчёта финансовых коэффициентов.</w:t>
      </w:r>
    </w:p>
    <w:p w:rsidR="0043196E" w:rsidRPr="0043196E" w:rsidRDefault="0043196E" w:rsidP="0043196E">
      <w:pPr>
        <w:numPr>
          <w:ilvl w:val="0"/>
          <w:numId w:val="24"/>
        </w:numPr>
        <w:spacing w:after="0" w:line="240" w:lineRule="auto"/>
        <w:ind w:left="-567"/>
        <w:jc w:val="both"/>
        <w:rPr>
          <w:rFonts w:ascii="Times New Roman" w:hAnsi="Times New Roman" w:cs="Times New Roman"/>
          <w:b/>
          <w:sz w:val="24"/>
          <w:szCs w:val="24"/>
        </w:rPr>
      </w:pPr>
      <w:r w:rsidRPr="0043196E">
        <w:rPr>
          <w:rFonts w:ascii="Times New Roman" w:hAnsi="Times New Roman" w:cs="Times New Roman"/>
          <w:b/>
          <w:sz w:val="24"/>
          <w:szCs w:val="24"/>
        </w:rPr>
        <w:t>Оценка по критериям и подготовка заключения</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Перед началом рассмотрения и оценки предложений участников закупочной процедуры Эксперт должен ознакомиться с условиями закупочной процедуры, изложенными в извещении о проведении закупочной процедуры и закупочной документации. Эксперт должен проверить наличие и полноту документов, необходимых для проведения финансово-экономической экспертизы. Эксперт вправе предложить закупочной комиссии затребовать от любого участника закупочной процедуры предоставления дополнительных сведений, необходимых для проведения экспертизы. Такое предложение должно сопровождаться письменным обоснованием необходимости запрашиваемой информации для оценки.</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Подготовка заключения начинается с внесения Экспертом исходных данных в шаблон «Финэкспертиза_МСП.</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для осуществления оценки. Обязательными для заполнения являются следующие графы таблицы:</w:t>
      </w:r>
    </w:p>
    <w:p w:rsidR="0043196E" w:rsidRPr="0043196E" w:rsidRDefault="0043196E" w:rsidP="0043196E">
      <w:pPr>
        <w:numPr>
          <w:ilvl w:val="0"/>
          <w:numId w:val="17"/>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название компании;</w:t>
      </w:r>
    </w:p>
    <w:p w:rsidR="0043196E" w:rsidRPr="0043196E" w:rsidRDefault="0043196E" w:rsidP="0043196E">
      <w:pPr>
        <w:numPr>
          <w:ilvl w:val="0"/>
          <w:numId w:val="17"/>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ИНН;</w:t>
      </w:r>
    </w:p>
    <w:p w:rsidR="0043196E" w:rsidRPr="0043196E" w:rsidRDefault="0043196E" w:rsidP="0043196E">
      <w:pPr>
        <w:numPr>
          <w:ilvl w:val="0"/>
          <w:numId w:val="17"/>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регион;</w:t>
      </w:r>
    </w:p>
    <w:p w:rsidR="0043196E" w:rsidRPr="0043196E" w:rsidRDefault="0043196E" w:rsidP="0043196E">
      <w:pPr>
        <w:numPr>
          <w:ilvl w:val="0"/>
          <w:numId w:val="17"/>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дата регистрации;</w:t>
      </w:r>
    </w:p>
    <w:p w:rsidR="0043196E" w:rsidRPr="0043196E" w:rsidRDefault="0043196E" w:rsidP="0043196E">
      <w:pPr>
        <w:numPr>
          <w:ilvl w:val="0"/>
          <w:numId w:val="17"/>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основной вид деятельности (ОКВЭД);</w:t>
      </w:r>
    </w:p>
    <w:p w:rsidR="0043196E" w:rsidRPr="0043196E" w:rsidRDefault="0043196E" w:rsidP="0043196E">
      <w:pPr>
        <w:numPr>
          <w:ilvl w:val="0"/>
          <w:numId w:val="17"/>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начальная (максимальная) цена закупочной процедуры, тыс. руб. без НДС</w:t>
      </w:r>
    </w:p>
    <w:p w:rsidR="0043196E" w:rsidRPr="0043196E" w:rsidRDefault="0043196E" w:rsidP="0043196E">
      <w:pPr>
        <w:numPr>
          <w:ilvl w:val="0"/>
          <w:numId w:val="17"/>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сумма задолженности по начисленным налогам, сборам и иным обязательным платежам, тыс. руб.</w:t>
      </w:r>
    </w:p>
    <w:p w:rsidR="0043196E" w:rsidRPr="0043196E" w:rsidRDefault="0043196E" w:rsidP="0043196E">
      <w:pPr>
        <w:numPr>
          <w:ilvl w:val="0"/>
          <w:numId w:val="17"/>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данные бухгалтерской отчетности</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Источниками информации при заполнении сводной таблицы для формирования итогового заключения служат бухгалтерская отчетность участника закупочной процедуры с подтверждением предоставления в ИФНС, копия устава, копия выписки из ЕГРЮЛ/ЕГРИП, анкета.</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 xml:space="preserve">Источником информации при заполнении графы «Сумма задолженности по начисленным налогам, сборам и иным обязательным платежам, тыс. руб.» служит копия подписанной и заверенной печатью налогового органа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w:t>
      </w:r>
      <w:r w:rsidRPr="0043196E">
        <w:rPr>
          <w:rFonts w:ascii="Times New Roman" w:hAnsi="Times New Roman" w:cs="Times New Roman"/>
          <w:sz w:val="24"/>
          <w:szCs w:val="24"/>
        </w:rPr>
        <w:lastRenderedPageBreak/>
        <w:t xml:space="preserve">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если указанные справки предоставляются в форме электронного документа в формате </w:t>
      </w:r>
      <w:r w:rsidRPr="0043196E">
        <w:rPr>
          <w:rFonts w:ascii="Times New Roman" w:hAnsi="Times New Roman" w:cs="Times New Roman"/>
          <w:sz w:val="24"/>
          <w:szCs w:val="24"/>
          <w:lang w:val="en-US"/>
        </w:rPr>
        <w:t>pdf</w:t>
      </w:r>
      <w:r w:rsidRPr="0043196E">
        <w:rPr>
          <w:rFonts w:ascii="Times New Roman" w:hAnsi="Times New Roman" w:cs="Times New Roman"/>
          <w:sz w:val="24"/>
          <w:szCs w:val="24"/>
        </w:rPr>
        <w:t>, такие документы должны содержать усиленную квалифицированную электронную подпись налогового органа и ее визуализацию.</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В случае наличия задолженности по начисленным налогам, сборам и иным обязательным платежам участник закупки должен предоставить копию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 а Эксперт внести в графу «Сумма задолженности по начисленным налогам, сборам и иным обязательным платежам, тыс. руб.» указанную в справке сумму задолженности в тысячах российских рублей.</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 xml:space="preserve">В случае отсутствия задолженности в графу «Сумма задолженности по начисленным налогам, сборам и иным обязательным платежам, тыс. руб.» Эксперт вносит 0. </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При наличии оплаченного доступа к информационно-аналитической системе «Спарк-Интерфакс» (системе, содержащей данные, включая регистрационные и бухгалтерские, по большинству российских юридических лиц) и доступа к сети интернет, в шаблоне «Финэкспертиза_МСП.</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предусмотрена возможность автоматического заполнения формы.</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Для этого на листе шаблона с соответствующим порядковым номером участника вводится его идентификационный номер налогоплательщика (ИНН), после этого при нажатии ссылки «Загрузить данные из Спарк» автоматически заполняются поля сводной формы.</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В случае отсутствия каких-либо регистрационных или бухгалтерских данных по участнику закупочной процедуры в информационно-аналитической системе «Спарк-Интерфакс» (как правило, это бухгалтерская отчетность за последний отчетный период) недостающая информация вносится в шаблон непосредственно Экспертом.</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Учитывая тот факт, что источником информации в системе «Спарк-Интерфакс» являются официальные государственные органы, такие как Федеральная налоговая служба, Федеральная служба государственной статистики, Центральный Банк России и др., – допускается использовать при проведении финансово-экономической экспертизы данные бухгалтерской отчетности, представленные в информационно-аналитической системе «Спарк-Интерфакс».</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В случае расхождения данных бухгалтерской отчетности, предоставленных участником закупочной процедуры, и данных, представленных в информационно-аналитической системе «Спарк-Интерфакс» для расчета финансовых показателей должны использоваться данные, предоставленные непосредственно участником закупочной процедуры. При этом факт расхождения отражается Экспертом в его экспертном заключении.</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На основании данных бухгалтерской отчетности в шаблоне «Финэкспертиза_МСП.</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рассчитываются финансовые коэффициенты и в зависимости от принимаемых значений им присваиваются баллы от 0 до 1.</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Затем Эксперт качественно оценивает бизнес-риски, в числе которых:</w:t>
      </w:r>
    </w:p>
    <w:p w:rsidR="0043196E" w:rsidRPr="0043196E" w:rsidRDefault="0043196E" w:rsidP="0043196E">
      <w:pPr>
        <w:ind w:left="-567"/>
        <w:jc w:val="both"/>
        <w:rPr>
          <w:rFonts w:ascii="Times New Roman" w:hAnsi="Times New Roman" w:cs="Times New Roman"/>
          <w:sz w:val="24"/>
          <w:szCs w:val="24"/>
        </w:rPr>
      </w:pPr>
    </w:p>
    <w:p w:rsidR="0043196E" w:rsidRPr="0043196E" w:rsidRDefault="0043196E" w:rsidP="0043196E">
      <w:pPr>
        <w:numPr>
          <w:ilvl w:val="0"/>
          <w:numId w:val="18"/>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lastRenderedPageBreak/>
        <w:t>соответствие основного вида деятельности по классификации ОКВЭД;</w:t>
      </w:r>
    </w:p>
    <w:p w:rsidR="0043196E" w:rsidRPr="0043196E" w:rsidRDefault="0043196E" w:rsidP="0043196E">
      <w:pPr>
        <w:numPr>
          <w:ilvl w:val="0"/>
          <w:numId w:val="18"/>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численность персонала;</w:t>
      </w:r>
    </w:p>
    <w:p w:rsidR="0043196E" w:rsidRPr="0043196E" w:rsidRDefault="0043196E" w:rsidP="0043196E">
      <w:pPr>
        <w:numPr>
          <w:ilvl w:val="0"/>
          <w:numId w:val="18"/>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регион ведения деятельности;</w:t>
      </w:r>
    </w:p>
    <w:p w:rsidR="0043196E" w:rsidRPr="0043196E" w:rsidRDefault="0043196E" w:rsidP="0043196E">
      <w:pPr>
        <w:numPr>
          <w:ilvl w:val="0"/>
          <w:numId w:val="18"/>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 xml:space="preserve">финансовые условия сделки (оценочный размер аванса, рассчитанный как указанный участником закупки в Графике оплаты процент к начальной (максимальной) цене). </w:t>
      </w:r>
    </w:p>
    <w:p w:rsidR="0043196E" w:rsidRPr="0043196E" w:rsidRDefault="0043196E" w:rsidP="0043196E">
      <w:pPr>
        <w:ind w:left="-567"/>
        <w:jc w:val="both"/>
        <w:rPr>
          <w:rFonts w:ascii="Times New Roman" w:hAnsi="Times New Roman" w:cs="Times New Roman"/>
          <w:sz w:val="24"/>
          <w:szCs w:val="24"/>
        </w:rPr>
      </w:pP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Оценки по критериям «соответствие основного вида деятельности по классификации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 Однако, в случае если, по мнению эксперта, участие в закупочной процедуре при значительном несоответствии участника по данным критериям может существенно повлиять на его финансовую устойчивость, итоговая оценка может быть понижена экспертом, но не более чем на 0,5 балла по пятибалльной шкале.</w:t>
      </w:r>
    </w:p>
    <w:p w:rsidR="0043196E" w:rsidRPr="0043196E" w:rsidRDefault="0043196E" w:rsidP="0043196E">
      <w:pPr>
        <w:numPr>
          <w:ilvl w:val="2"/>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Финансовые условия сделки оцениваются в разрезе следующих основных вариантов:</w:t>
      </w:r>
    </w:p>
    <w:p w:rsidR="0043196E" w:rsidRPr="0043196E" w:rsidRDefault="0043196E" w:rsidP="0043196E">
      <w:pPr>
        <w:numPr>
          <w:ilvl w:val="0"/>
          <w:numId w:val="19"/>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без предоплаты;</w:t>
      </w:r>
    </w:p>
    <w:p w:rsidR="0043196E" w:rsidRPr="0043196E" w:rsidRDefault="0043196E" w:rsidP="0043196E">
      <w:pPr>
        <w:numPr>
          <w:ilvl w:val="0"/>
          <w:numId w:val="19"/>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полное покрытие аванса банковской гарантией;</w:t>
      </w:r>
    </w:p>
    <w:p w:rsidR="0043196E" w:rsidRPr="0043196E" w:rsidRDefault="0043196E" w:rsidP="0043196E">
      <w:pPr>
        <w:numPr>
          <w:ilvl w:val="0"/>
          <w:numId w:val="19"/>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аванс без покрытия банковской гарантией.</w:t>
      </w:r>
    </w:p>
    <w:p w:rsidR="0043196E" w:rsidRPr="0043196E" w:rsidRDefault="0043196E" w:rsidP="0043196E">
      <w:pPr>
        <w:numPr>
          <w:ilvl w:val="3"/>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 первому варианту «без предоплаты» относятся также случаи, когда договором предусмотрен ряд последовательных платежей в пользу участника закупочной процедуры, однако при этом каждый такой платеж осуществляется по факту осуществленной поставки или оказанной услуги.</w:t>
      </w:r>
    </w:p>
    <w:p w:rsidR="0043196E" w:rsidRPr="0043196E" w:rsidRDefault="0043196E" w:rsidP="0043196E">
      <w:pPr>
        <w:numPr>
          <w:ilvl w:val="3"/>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Ко второму варианту «полное покрытие аванса банковской гарантией» относятся также случаи, когда договором предусмотрен ряд последовательных платежей в пользу участника закупочной процедуры, при этом каждый такой платеж, в случае если он осуществляется авансом, покрыт банковской гарантией.</w:t>
      </w:r>
    </w:p>
    <w:p w:rsidR="0043196E" w:rsidRPr="0043196E" w:rsidRDefault="0043196E" w:rsidP="0043196E">
      <w:pPr>
        <w:numPr>
          <w:ilvl w:val="3"/>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Случай, когда какой-либо авансовый платеж или его часть в пользу участника закупочной процедуры планируется осуществить без покрытия банковской гарантией, такой вариант должен рассматриваться как «аванс без покрытия банковской гарантией».</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Срок существования компаний-участниц закупочной процедуры определяется в шаблоне «Финэкспертиза_МСП.</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автоматически на основании заполненных граф с датой регистрации и датой подготовки заключения.</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В шаблоне «Финэкспертиза_МСП.</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также реализовано сопоставление начальной (максимальной) цены закупочной процедуры и величины аванса, указанной в Графике оплаты участника закупочной процедуры, с его активами и годовой выручкой.</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Оценка по критериям «срок существования» и «соответствие масштабов деятельности участника закупочной процедуры сумме закупки» осуществляется автоматически.</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Когда в шаблон «Финэкспертиза_МСП.</w:t>
      </w:r>
      <w:r w:rsidRPr="0043196E">
        <w:rPr>
          <w:rFonts w:ascii="Times New Roman" w:hAnsi="Times New Roman" w:cs="Times New Roman"/>
          <w:sz w:val="24"/>
          <w:szCs w:val="24"/>
          <w:lang w:val="en-US"/>
        </w:rPr>
        <w:t>xls</w:t>
      </w:r>
      <w:r w:rsidRPr="0043196E">
        <w:rPr>
          <w:rFonts w:ascii="Times New Roman" w:hAnsi="Times New Roman" w:cs="Times New Roman"/>
          <w:sz w:val="24"/>
          <w:szCs w:val="24"/>
        </w:rPr>
        <w:t>» внесены:</w:t>
      </w:r>
    </w:p>
    <w:p w:rsidR="0043196E" w:rsidRPr="0043196E" w:rsidRDefault="0043196E" w:rsidP="0043196E">
      <w:pPr>
        <w:numPr>
          <w:ilvl w:val="0"/>
          <w:numId w:val="20"/>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регистрационные данные участника закупочной процедуры (название компании, ИНН, регион; дата регистрации, основной вид деятельности),</w:t>
      </w:r>
    </w:p>
    <w:p w:rsidR="0043196E" w:rsidRPr="0043196E" w:rsidRDefault="0043196E" w:rsidP="0043196E">
      <w:pPr>
        <w:numPr>
          <w:ilvl w:val="0"/>
          <w:numId w:val="20"/>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данные бухгалтерской отчетности,</w:t>
      </w:r>
    </w:p>
    <w:p w:rsidR="0043196E" w:rsidRPr="0043196E" w:rsidRDefault="0043196E" w:rsidP="0043196E">
      <w:pPr>
        <w:numPr>
          <w:ilvl w:val="0"/>
          <w:numId w:val="20"/>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проставлены галочки в соответствующих полях формы для условий оплаты,</w:t>
      </w:r>
    </w:p>
    <w:p w:rsidR="0043196E" w:rsidRPr="0043196E" w:rsidRDefault="0043196E" w:rsidP="0043196E">
      <w:pPr>
        <w:numPr>
          <w:ilvl w:val="0"/>
          <w:numId w:val="20"/>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занесена сумма задолженности по начисленным налогам, сборам и иным обязательным платежам в тыс. руб.,</w:t>
      </w:r>
    </w:p>
    <w:p w:rsidR="0043196E" w:rsidRPr="0043196E" w:rsidRDefault="0043196E" w:rsidP="0043196E">
      <w:pPr>
        <w:numPr>
          <w:ilvl w:val="0"/>
          <w:numId w:val="20"/>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lastRenderedPageBreak/>
        <w:t>указана начальная (максимальная) цена закупочной процедуры,</w:t>
      </w:r>
    </w:p>
    <w:p w:rsidR="0043196E" w:rsidRPr="0043196E" w:rsidRDefault="0043196E" w:rsidP="0043196E">
      <w:pPr>
        <w:ind w:left="-567"/>
        <w:jc w:val="both"/>
        <w:rPr>
          <w:rFonts w:ascii="Times New Roman" w:hAnsi="Times New Roman" w:cs="Times New Roman"/>
          <w:sz w:val="24"/>
          <w:szCs w:val="24"/>
        </w:rPr>
      </w:pPr>
      <w:r w:rsidRPr="0043196E">
        <w:rPr>
          <w:rFonts w:ascii="Times New Roman" w:hAnsi="Times New Roman" w:cs="Times New Roman"/>
          <w:sz w:val="24"/>
          <w:szCs w:val="24"/>
        </w:rPr>
        <w:t>осуществляется автоматическая оценка участников закупочной процедуры на основе балльно-весового подхода, параметры которого (баллы и веса) определены Методикой.</w:t>
      </w:r>
    </w:p>
    <w:p w:rsidR="0043196E" w:rsidRPr="0043196E" w:rsidRDefault="0043196E" w:rsidP="0043196E">
      <w:pPr>
        <w:numPr>
          <w:ilvl w:val="0"/>
          <w:numId w:val="24"/>
        </w:numPr>
        <w:spacing w:after="0" w:line="240" w:lineRule="auto"/>
        <w:ind w:left="-567"/>
        <w:jc w:val="both"/>
        <w:rPr>
          <w:rFonts w:ascii="Times New Roman" w:hAnsi="Times New Roman" w:cs="Times New Roman"/>
          <w:b/>
          <w:sz w:val="24"/>
          <w:szCs w:val="24"/>
        </w:rPr>
      </w:pPr>
      <w:r w:rsidRPr="0043196E">
        <w:rPr>
          <w:rFonts w:ascii="Times New Roman" w:hAnsi="Times New Roman" w:cs="Times New Roman"/>
          <w:b/>
          <w:sz w:val="24"/>
          <w:szCs w:val="24"/>
        </w:rPr>
        <w:t>Формирование окончательного решения</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На отборочной стадии Эксперт, используя результаты совместного применения балльно-весового подхода и системы стоп и риск-факторов, согласно алгоритму, описанному в Методике, принимает решение о соответствии / несоответствии участников закупочной процедуры требованиям закупочной документации и настоящей Методики с точки зрения финансово-экономических критериев. В случае если на основании применения балльно-весового подхода и системы стоп и риск-факторов автоматически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 должен внести необходимые корректировки с обоснованием своей позиции в экспертном заключении. Итоговая оценка на оценочной стадии за исключением случаев, описанных в п. 3.7., при этом не должна превышать 1 по пятибалльной шкале (минимально допустимый уровень).</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На оценочной стадии финансово-экономической экспертизы предложения участников закупочной процедуры, прошедших отборочную стадию, ранжируются между собой. В основе количественной меры для сравнения предложений участников в рамках финансово-экономической экспертизы, также используется первичный балл от 0 до 1, полученный в результате применения балльно-весового подхода. Все компании, набравшие более 0,45 баллов по шкале от 0 до 1 (по которым принято положительное решение на отборочной стадии) ранжируются с присвоением оценки по пятибалльной шкале от 0 до 5. Порядок перевода шкалы от 0 до 1 в шкалу от 0 до 5 установлен Методикой.</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За Экспертом на оценочной стадии закрепляется право в отдельных случаях (см. таблицу Алгоритм принятия решения) повышать или понижать, если иное специально не оговорено в Методике, не более чем на 1 балл по пятибалльной шкале оценку, полученную автоматически.</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 целью расширения доступа субъектов малого и среднего предпринимательства к участию в конкурентных закупочных процедурах, организованных Обществом, когда для оказания услуги и/или осуществления поставки от участников закупочной процедуры не требуется наличие значительных финансовых и материально-технических ресурсов, допускается экспертно повышать оценку – а именно, для компаний субъектов малого и среднего предпринимательства, получивших оценку «не соответствует» или 0 (ноль) баллов по причине несоответствия масштабов деятельности участника начальной (максимальной) цене закупочной процедуры, разрешается экспертно повышать оценку до «соответствует», и допускать таких участников до оценочной стадии, итоговая оценка при этом не должна превышать 1 по пятибалльной шкале (минимально допустимый уровень). К таким случаям могут относиться конкурентные закупочные процедуры по перечисленным ниже статьям расходов Общества, плановая стоимость закупки по которым не превышает 30 млн. рублей без НДС:</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административно-хозяйственные расходы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охрана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консультационные и информационные расходы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аудит и оценка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юридические услуги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корпоративное управление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расходы на персонал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реклама и маркетинг (поставки и услуги).</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lastRenderedPageBreak/>
        <w:t>По результатам проведенной финансово-экономической экспертизы Эксперт по каждому участнику закупочной процедуры готовит при необходимости, обусловленной требованиями закупочной документации, экспертное заключение с указанием наиболее значимых факторов, повлиявших на итоговую оценку.</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 xml:space="preserve">В случае </w:t>
      </w:r>
      <w:r w:rsidRPr="0043196E">
        <w:rPr>
          <w:rFonts w:ascii="Times New Roman" w:hAnsi="Times New Roman" w:cs="Times New Roman"/>
          <w:b/>
          <w:sz w:val="24"/>
          <w:szCs w:val="24"/>
        </w:rPr>
        <w:t>если решение, принятое Экспертом в рамках финансово-экономической экспертизы, отличается от принятого автоматически</w:t>
      </w:r>
      <w:r w:rsidRPr="0043196E">
        <w:rPr>
          <w:rFonts w:ascii="Times New Roman" w:hAnsi="Times New Roman" w:cs="Times New Roman"/>
          <w:sz w:val="24"/>
          <w:szCs w:val="24"/>
        </w:rPr>
        <w:t xml:space="preserve"> в рамках балльно-весового подхода, определенного настоящей Методикой, то </w:t>
      </w:r>
      <w:r w:rsidRPr="0043196E">
        <w:rPr>
          <w:rFonts w:ascii="Times New Roman" w:hAnsi="Times New Roman" w:cs="Times New Roman"/>
          <w:b/>
          <w:sz w:val="24"/>
          <w:szCs w:val="24"/>
        </w:rPr>
        <w:t>формирование Экспертом письменного заключения</w:t>
      </w:r>
      <w:r w:rsidRPr="0043196E">
        <w:rPr>
          <w:rFonts w:ascii="Times New Roman" w:hAnsi="Times New Roman" w:cs="Times New Roman"/>
          <w:sz w:val="24"/>
          <w:szCs w:val="24"/>
        </w:rPr>
        <w:t xml:space="preserve"> с указанием факторов, повлиявших на итоговую оценку, </w:t>
      </w:r>
      <w:r w:rsidRPr="0043196E">
        <w:rPr>
          <w:rFonts w:ascii="Times New Roman" w:hAnsi="Times New Roman" w:cs="Times New Roman"/>
          <w:b/>
          <w:sz w:val="24"/>
          <w:szCs w:val="24"/>
        </w:rPr>
        <w:t>является обязательным</w:t>
      </w:r>
      <w:r w:rsidRPr="0043196E">
        <w:rPr>
          <w:rFonts w:ascii="Times New Roman" w:hAnsi="Times New Roman" w:cs="Times New Roman"/>
          <w:sz w:val="24"/>
          <w:szCs w:val="24"/>
        </w:rPr>
        <w:t>.</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В случае если компания, являющаяся участником конкурентной закупочной процедуры, входит в группу компаний, о которой достоверно известно, что данная группа обладает достаточной финансовой устойчивостью (что подтверждено международным кредитным рейтингом на уровне или выше BB- по шкале Fitch/S&amp;P или Ba3 по шкале Moody’s) допускается экспертно повышать</w:t>
      </w:r>
      <w:r w:rsidRPr="0043196E">
        <w:rPr>
          <w:rFonts w:ascii="Times New Roman" w:hAnsi="Times New Roman" w:cs="Times New Roman"/>
          <w:b/>
          <w:sz w:val="24"/>
          <w:szCs w:val="24"/>
        </w:rPr>
        <w:t xml:space="preserve"> итоговую оценку участника закупочной процедуры более чем на 1 балл</w:t>
      </w:r>
      <w:r w:rsidRPr="0043196E">
        <w:rPr>
          <w:rFonts w:ascii="Times New Roman" w:hAnsi="Times New Roman" w:cs="Times New Roman"/>
          <w:sz w:val="24"/>
          <w:szCs w:val="24"/>
        </w:rPr>
        <w:t xml:space="preserve"> по пятибалльной шкале. Итоговая оценка в случае применения такой корректировки не должна превышать трех баллов по пятибалльной шкале. Принадлежность участника к указанной группе подтверждается предоставлением консолидированной финансовой отчетности по МСФО за последний завершенный финансовый год;</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Когда в качестве участника закупочной процедуры выступает консорциум, состоящий из двух или более различных компаний, либо при оказании услуг / осуществлении поставки планируется привлечение субподрядчика или нескольких субподрядчиков, итоговая оценка в рамках финансово-экономической экспертизы формируется как сумма оценок всех участников консорциума или основного участника и его субподрядчиков, взвешенная по планируемой доле их участия в соответствии с предоставленным планом распределения работ;</w:t>
      </w:r>
    </w:p>
    <w:p w:rsidR="0043196E" w:rsidRPr="0043196E" w:rsidRDefault="0043196E" w:rsidP="0043196E">
      <w:pPr>
        <w:ind w:left="-567"/>
        <w:jc w:val="right"/>
        <w:rPr>
          <w:rFonts w:ascii="Times New Roman" w:hAnsi="Times New Roman" w:cs="Times New Roman"/>
          <w:sz w:val="24"/>
          <w:szCs w:val="24"/>
        </w:rPr>
      </w:pPr>
      <w:r w:rsidRPr="0043196E">
        <w:rPr>
          <w:rFonts w:ascii="Times New Roman" w:hAnsi="Times New Roman" w:cs="Times New Roman"/>
          <w:sz w:val="24"/>
          <w:szCs w:val="24"/>
        </w:rPr>
        <w:t>Таблица Алгоритм принятия решения</w:t>
      </w:r>
    </w:p>
    <w:tbl>
      <w:tblPr>
        <w:tblW w:w="100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6224"/>
      </w:tblGrid>
      <w:tr w:rsidR="0043196E" w:rsidRPr="0043196E" w:rsidTr="00906887">
        <w:trPr>
          <w:trHeight w:val="503"/>
        </w:trPr>
        <w:tc>
          <w:tcPr>
            <w:tcW w:w="3828" w:type="dxa"/>
            <w:shd w:val="clear" w:color="auto" w:fill="auto"/>
            <w:vAlign w:val="center"/>
          </w:tcPr>
          <w:p w:rsidR="0043196E" w:rsidRPr="0043196E" w:rsidRDefault="0043196E" w:rsidP="00906887">
            <w:pPr>
              <w:ind w:left="-108"/>
              <w:jc w:val="center"/>
              <w:rPr>
                <w:rFonts w:ascii="Times New Roman" w:hAnsi="Times New Roman" w:cs="Times New Roman"/>
                <w:b/>
                <w:color w:val="000000"/>
                <w:sz w:val="24"/>
                <w:szCs w:val="24"/>
              </w:rPr>
            </w:pPr>
            <w:r w:rsidRPr="0043196E">
              <w:rPr>
                <w:rFonts w:ascii="Times New Roman" w:hAnsi="Times New Roman" w:cs="Times New Roman"/>
                <w:b/>
                <w:color w:val="000000"/>
                <w:sz w:val="24"/>
                <w:szCs w:val="24"/>
              </w:rPr>
              <w:t>Варианты автоматического решения</w:t>
            </w:r>
          </w:p>
        </w:tc>
        <w:tc>
          <w:tcPr>
            <w:tcW w:w="6224" w:type="dxa"/>
            <w:shd w:val="clear" w:color="auto" w:fill="auto"/>
            <w:vAlign w:val="center"/>
          </w:tcPr>
          <w:p w:rsidR="0043196E" w:rsidRPr="0043196E" w:rsidRDefault="0043196E" w:rsidP="00906887">
            <w:pPr>
              <w:ind w:left="-108"/>
              <w:jc w:val="center"/>
              <w:rPr>
                <w:rFonts w:ascii="Times New Roman" w:hAnsi="Times New Roman" w:cs="Times New Roman"/>
                <w:b/>
                <w:color w:val="000000"/>
                <w:sz w:val="24"/>
                <w:szCs w:val="24"/>
              </w:rPr>
            </w:pPr>
            <w:r w:rsidRPr="0043196E">
              <w:rPr>
                <w:rFonts w:ascii="Times New Roman" w:hAnsi="Times New Roman" w:cs="Times New Roman"/>
                <w:b/>
                <w:color w:val="000000"/>
                <w:sz w:val="24"/>
                <w:szCs w:val="24"/>
              </w:rPr>
              <w:t>Описание и действия Эксперта</w:t>
            </w:r>
          </w:p>
        </w:tc>
      </w:tr>
      <w:tr w:rsidR="0043196E" w:rsidRPr="0043196E" w:rsidTr="00906887">
        <w:trPr>
          <w:trHeight w:val="445"/>
        </w:trPr>
        <w:tc>
          <w:tcPr>
            <w:tcW w:w="3828" w:type="dxa"/>
            <w:shd w:val="clear" w:color="auto" w:fill="auto"/>
            <w:vAlign w:val="center"/>
          </w:tcPr>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Занести данные отчетности</w:t>
            </w:r>
          </w:p>
        </w:tc>
        <w:tc>
          <w:tcPr>
            <w:tcW w:w="6224" w:type="dxa"/>
            <w:shd w:val="clear" w:color="auto" w:fill="auto"/>
          </w:tcPr>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t>Надпись возникает, когда не занесены данные бухгалтерской отчетности</w:t>
            </w:r>
          </w:p>
        </w:tc>
      </w:tr>
      <w:tr w:rsidR="0043196E" w:rsidRPr="0043196E" w:rsidTr="00906887">
        <w:trPr>
          <w:trHeight w:val="885"/>
        </w:trPr>
        <w:tc>
          <w:tcPr>
            <w:tcW w:w="3828" w:type="dxa"/>
            <w:shd w:val="clear" w:color="auto" w:fill="auto"/>
            <w:vAlign w:val="center"/>
          </w:tcPr>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Автоматическое принятие решения</w:t>
            </w:r>
          </w:p>
        </w:tc>
        <w:tc>
          <w:tcPr>
            <w:tcW w:w="6224" w:type="dxa"/>
            <w:shd w:val="clear" w:color="auto" w:fill="auto"/>
          </w:tcPr>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t>Надпись возникает, когда данные бухгалтерской отчетности занесены в соответствующие ячейки шаблона (файл Excel), однако остальные обязательные для заполнения ячейки пусты (отсутствуют регистрационные данные, не указана начальная (максимальная) цена или не заполнено поле с суммой задолженности по начисленным налогам, сборам и иным обязательным платежам). Надпись также может возникнуть в случае, если не полностью или не верно проставлены галочки в полях, предусмотренных для качественной оценки бизнес-рисков</w:t>
            </w:r>
          </w:p>
        </w:tc>
      </w:tr>
      <w:tr w:rsidR="0043196E" w:rsidRPr="0043196E" w:rsidTr="00906887">
        <w:trPr>
          <w:trHeight w:val="870"/>
        </w:trPr>
        <w:tc>
          <w:tcPr>
            <w:tcW w:w="3828" w:type="dxa"/>
            <w:shd w:val="clear" w:color="000000" w:fill="FFE5E5"/>
            <w:vAlign w:val="center"/>
          </w:tcPr>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Не соответствует (0)</w:t>
            </w:r>
          </w:p>
        </w:tc>
        <w:tc>
          <w:tcPr>
            <w:tcW w:w="6224" w:type="dxa"/>
            <w:shd w:val="clear" w:color="000000" w:fill="FFE5E5"/>
          </w:tcPr>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t>Такое автоматическое решение возникает в ситуации, когда компания-участница закупочной процедуры, будучи оценена согласно балльно-весового подхода, набирает менее 0,45 баллов по шкале от 0 до 1.</w:t>
            </w:r>
          </w:p>
          <w:p w:rsidR="0043196E" w:rsidRPr="0043196E" w:rsidRDefault="0043196E" w:rsidP="00906887">
            <w:pPr>
              <w:ind w:left="-108"/>
              <w:jc w:val="both"/>
              <w:rPr>
                <w:rFonts w:ascii="Times New Roman" w:hAnsi="Times New Roman" w:cs="Times New Roman"/>
                <w:i/>
                <w:color w:val="000000"/>
                <w:sz w:val="24"/>
                <w:szCs w:val="24"/>
              </w:rPr>
            </w:pPr>
            <w:r w:rsidRPr="0043196E">
              <w:rPr>
                <w:rFonts w:ascii="Times New Roman" w:hAnsi="Times New Roman" w:cs="Times New Roman"/>
                <w:b/>
                <w:i/>
                <w:color w:val="000000"/>
                <w:sz w:val="24"/>
                <w:szCs w:val="24"/>
              </w:rPr>
              <w:lastRenderedPageBreak/>
              <w:t xml:space="preserve">Действия Эксперта: </w:t>
            </w:r>
            <w:r w:rsidRPr="0043196E">
              <w:rPr>
                <w:rFonts w:ascii="Times New Roman" w:hAnsi="Times New Roman" w:cs="Times New Roman"/>
                <w:i/>
                <w:color w:val="000000"/>
                <w:sz w:val="24"/>
                <w:szCs w:val="24"/>
              </w:rPr>
              <w:t>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rsidR="0043196E" w:rsidRPr="0043196E" w:rsidTr="00906887">
        <w:trPr>
          <w:trHeight w:val="850"/>
        </w:trPr>
        <w:tc>
          <w:tcPr>
            <w:tcW w:w="3828" w:type="dxa"/>
            <w:shd w:val="clear" w:color="000000" w:fill="FFE5E5"/>
            <w:vAlign w:val="center"/>
          </w:tcPr>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lastRenderedPageBreak/>
              <w:t>Не соответствует (0) имеются стоп-факторы</w:t>
            </w:r>
          </w:p>
        </w:tc>
        <w:tc>
          <w:tcPr>
            <w:tcW w:w="6224" w:type="dxa"/>
            <w:shd w:val="clear" w:color="000000" w:fill="FFE5E5"/>
          </w:tcPr>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t>Надпись возникает, когда независимо от набранного количества баллов по шкале от 0 до 1 для оцениваемой компании реализуется хотя бы один из стоп-факторов</w:t>
            </w:r>
          </w:p>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b/>
                <w:i/>
                <w:color w:val="000000"/>
                <w:sz w:val="24"/>
                <w:szCs w:val="24"/>
              </w:rPr>
              <w:t xml:space="preserve">Действия Эксперта: </w:t>
            </w:r>
            <w:r w:rsidRPr="0043196E">
              <w:rPr>
                <w:rFonts w:ascii="Times New Roman" w:hAnsi="Times New Roman" w:cs="Times New Roman"/>
                <w:i/>
                <w:color w:val="000000"/>
                <w:sz w:val="24"/>
                <w:szCs w:val="24"/>
              </w:rPr>
              <w:t>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rsidR="0043196E" w:rsidRPr="0043196E" w:rsidTr="00906887">
        <w:trPr>
          <w:trHeight w:val="765"/>
        </w:trPr>
        <w:tc>
          <w:tcPr>
            <w:tcW w:w="3828" w:type="dxa"/>
            <w:shd w:val="clear" w:color="000000" w:fill="F8FFB9"/>
            <w:vAlign w:val="center"/>
          </w:tcPr>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Необходимо участие эксперта (0)</w:t>
            </w:r>
          </w:p>
          <w:p w:rsidR="0043196E" w:rsidRPr="0043196E" w:rsidRDefault="0043196E" w:rsidP="00906887">
            <w:pPr>
              <w:ind w:left="-108"/>
              <w:rPr>
                <w:rFonts w:ascii="Times New Roman" w:hAnsi="Times New Roman" w:cs="Times New Roman"/>
                <w:i/>
                <w:color w:val="000000"/>
                <w:sz w:val="24"/>
                <w:szCs w:val="24"/>
              </w:rPr>
            </w:pPr>
          </w:p>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Необходимо участие эксперта (0) имеются риск-факторы</w:t>
            </w:r>
          </w:p>
        </w:tc>
        <w:tc>
          <w:tcPr>
            <w:tcW w:w="6224" w:type="dxa"/>
            <w:shd w:val="clear" w:color="000000" w:fill="F8FFB9"/>
          </w:tcPr>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t>Такое автоматическое решение соответствует ситуации, когда компания-участница закупочной процедуры набирает от 0,45 до 0,5 баллов по шкале от 0 до 1 (пограничная ситуация). При этом имеется не более двух риск-факторов.</w:t>
            </w:r>
          </w:p>
          <w:p w:rsidR="0043196E" w:rsidRPr="0043196E" w:rsidRDefault="0043196E" w:rsidP="00906887">
            <w:pPr>
              <w:ind w:left="-108"/>
              <w:jc w:val="both"/>
              <w:rPr>
                <w:rFonts w:ascii="Times New Roman" w:hAnsi="Times New Roman" w:cs="Times New Roman"/>
                <w:i/>
                <w:color w:val="000000"/>
                <w:sz w:val="24"/>
                <w:szCs w:val="24"/>
              </w:rPr>
            </w:pPr>
            <w:r w:rsidRPr="0043196E">
              <w:rPr>
                <w:rFonts w:ascii="Times New Roman" w:hAnsi="Times New Roman" w:cs="Times New Roman"/>
                <w:b/>
                <w:i/>
                <w:color w:val="000000"/>
                <w:sz w:val="24"/>
                <w:szCs w:val="24"/>
              </w:rPr>
              <w:t xml:space="preserve">Действия Эксперта: </w:t>
            </w:r>
            <w:r w:rsidRPr="0043196E">
              <w:rPr>
                <w:rFonts w:ascii="Times New Roman" w:hAnsi="Times New Roman" w:cs="Times New Roman"/>
                <w:i/>
                <w:color w:val="000000"/>
                <w:sz w:val="24"/>
                <w:szCs w:val="24"/>
              </w:rPr>
              <w:t>на отборочной стадии</w:t>
            </w:r>
            <w:r w:rsidRPr="0043196E">
              <w:rPr>
                <w:rFonts w:ascii="Times New Roman" w:hAnsi="Times New Roman" w:cs="Times New Roman"/>
                <w:b/>
                <w:i/>
                <w:color w:val="000000"/>
                <w:sz w:val="24"/>
                <w:szCs w:val="24"/>
              </w:rPr>
              <w:t xml:space="preserve"> </w:t>
            </w:r>
            <w:r w:rsidRPr="0043196E">
              <w:rPr>
                <w:rFonts w:ascii="Times New Roman" w:hAnsi="Times New Roman" w:cs="Times New Roman"/>
                <w:i/>
                <w:color w:val="000000"/>
                <w:sz w:val="24"/>
                <w:szCs w:val="24"/>
              </w:rPr>
              <w:t>в пограничной ситуации</w:t>
            </w:r>
            <w:r w:rsidRPr="0043196E">
              <w:rPr>
                <w:rFonts w:ascii="Times New Roman" w:hAnsi="Times New Roman" w:cs="Times New Roman"/>
                <w:b/>
                <w:i/>
                <w:color w:val="000000"/>
                <w:sz w:val="24"/>
                <w:szCs w:val="24"/>
              </w:rPr>
              <w:t xml:space="preserve"> </w:t>
            </w:r>
            <w:r w:rsidRPr="0043196E">
              <w:rPr>
                <w:rFonts w:ascii="Times New Roman" w:hAnsi="Times New Roman" w:cs="Times New Roman"/>
                <w:i/>
                <w:color w:val="000000"/>
                <w:sz w:val="24"/>
                <w:szCs w:val="24"/>
              </w:rPr>
              <w:t>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не должна превышать 1 по пятибалльной шкале, если иное специально не оговорено в Методике (минимально допустимый уровень)</w:t>
            </w:r>
          </w:p>
        </w:tc>
      </w:tr>
      <w:tr w:rsidR="0043196E" w:rsidRPr="0043196E" w:rsidTr="00906887">
        <w:trPr>
          <w:trHeight w:val="712"/>
        </w:trPr>
        <w:tc>
          <w:tcPr>
            <w:tcW w:w="3828" w:type="dxa"/>
            <w:shd w:val="clear" w:color="000000" w:fill="F8FFB9"/>
            <w:vAlign w:val="center"/>
          </w:tcPr>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Необходимо участие эксперта (оценка 1-5) более двух риск факторов</w:t>
            </w:r>
          </w:p>
        </w:tc>
        <w:tc>
          <w:tcPr>
            <w:tcW w:w="6224" w:type="dxa"/>
            <w:shd w:val="clear" w:color="000000" w:fill="F8FFB9"/>
          </w:tcPr>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t>Надпись возникает, когда независимо от набранного количества баллов по шкале от 0 до 1 для оцениваемой компании реализуется более двух риск факторов</w:t>
            </w:r>
          </w:p>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b/>
                <w:i/>
                <w:color w:val="000000"/>
                <w:sz w:val="24"/>
                <w:szCs w:val="24"/>
              </w:rPr>
              <w:lastRenderedPageBreak/>
              <w:t xml:space="preserve">Действия Эксперта: </w:t>
            </w:r>
            <w:r w:rsidRPr="0043196E">
              <w:rPr>
                <w:rFonts w:ascii="Times New Roman" w:hAnsi="Times New Roman" w:cs="Times New Roman"/>
                <w:i/>
                <w:color w:val="000000"/>
                <w:sz w:val="24"/>
                <w:szCs w:val="24"/>
              </w:rPr>
              <w:t>в случае большого количества (более двух) риск-факторов 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если иное специально не оговорено в Методике, не должна превышать 1 по пятибалльной шкале (минимально допустимый уровень)</w:t>
            </w:r>
          </w:p>
        </w:tc>
      </w:tr>
      <w:tr w:rsidR="0043196E" w:rsidRPr="0043196E" w:rsidTr="00906887">
        <w:trPr>
          <w:trHeight w:val="2440"/>
        </w:trPr>
        <w:tc>
          <w:tcPr>
            <w:tcW w:w="3828" w:type="dxa"/>
            <w:shd w:val="clear" w:color="000000" w:fill="C6FED1"/>
            <w:vAlign w:val="center"/>
          </w:tcPr>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lastRenderedPageBreak/>
              <w:t>Соответствует (оценка 1-5) имеются риск-факторы</w:t>
            </w:r>
          </w:p>
          <w:p w:rsidR="0043196E" w:rsidRPr="0043196E" w:rsidRDefault="0043196E" w:rsidP="00906887">
            <w:pPr>
              <w:ind w:left="-108"/>
              <w:rPr>
                <w:rFonts w:ascii="Times New Roman" w:hAnsi="Times New Roman" w:cs="Times New Roman"/>
                <w:i/>
                <w:color w:val="000000"/>
                <w:sz w:val="24"/>
                <w:szCs w:val="24"/>
              </w:rPr>
            </w:pPr>
          </w:p>
          <w:p w:rsidR="0043196E" w:rsidRPr="0043196E" w:rsidRDefault="0043196E" w:rsidP="00906887">
            <w:pPr>
              <w:ind w:left="-108"/>
              <w:rPr>
                <w:rFonts w:ascii="Times New Roman" w:hAnsi="Times New Roman" w:cs="Times New Roman"/>
                <w:i/>
                <w:color w:val="000000"/>
                <w:sz w:val="24"/>
                <w:szCs w:val="24"/>
              </w:rPr>
            </w:pPr>
            <w:r w:rsidRPr="0043196E">
              <w:rPr>
                <w:rFonts w:ascii="Times New Roman" w:hAnsi="Times New Roman" w:cs="Times New Roman"/>
                <w:i/>
                <w:color w:val="000000"/>
                <w:sz w:val="24"/>
                <w:szCs w:val="24"/>
              </w:rPr>
              <w:t>Соответствует (оценка 1-5)</w:t>
            </w:r>
          </w:p>
        </w:tc>
        <w:tc>
          <w:tcPr>
            <w:tcW w:w="6224" w:type="dxa"/>
            <w:shd w:val="clear" w:color="000000" w:fill="C6FED1"/>
          </w:tcPr>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color w:val="000000"/>
                <w:sz w:val="24"/>
                <w:szCs w:val="24"/>
              </w:rPr>
              <w:t>Компания-участница закупочной процедуры набирает более 0,5 баллов по шкале от 0 до 1. При этом имеется не более двух риск-факторов. Далее все компании, набравшие более 0,5 баллов по шкале от 0 до 1 (по которым принято положительное решение на отборочной стадии) ранжируются с присвоением оценки по пятибалльной шкале от 1 до 5. В настоящей методике ранжир осуществляется равномерным переводом первичной шкалы от 0,5 до 1 в шкалу от 1 до 5.</w:t>
            </w:r>
          </w:p>
          <w:p w:rsidR="0043196E" w:rsidRPr="0043196E" w:rsidRDefault="0043196E" w:rsidP="00906887">
            <w:pPr>
              <w:ind w:left="-108"/>
              <w:jc w:val="both"/>
              <w:rPr>
                <w:rFonts w:ascii="Times New Roman" w:hAnsi="Times New Roman" w:cs="Times New Roman"/>
                <w:color w:val="000000"/>
                <w:sz w:val="24"/>
                <w:szCs w:val="24"/>
              </w:rPr>
            </w:pPr>
            <w:r w:rsidRPr="0043196E">
              <w:rPr>
                <w:rFonts w:ascii="Times New Roman" w:hAnsi="Times New Roman" w:cs="Times New Roman"/>
                <w:b/>
                <w:i/>
                <w:color w:val="000000"/>
                <w:sz w:val="24"/>
                <w:szCs w:val="24"/>
              </w:rPr>
              <w:t xml:space="preserve">Действия Эксперта: </w:t>
            </w:r>
            <w:r w:rsidRPr="0043196E">
              <w:rPr>
                <w:rFonts w:ascii="Times New Roman" w:hAnsi="Times New Roman" w:cs="Times New Roman"/>
                <w:i/>
                <w:color w:val="000000"/>
                <w:sz w:val="24"/>
                <w:szCs w:val="24"/>
              </w:rPr>
              <w:t>в такой ситуации на отборочной стадии Эксперт не может изменить автоматически принятое решение о соответствии, однако за ним остается право при необходимости скорректировать итоговую оценку не более чем на 1 балл по пятибалльной шкале, при условии, что с учетом корректировки итоговая оценка будет находиться в пределах от 1 до 5</w:t>
            </w:r>
          </w:p>
        </w:tc>
      </w:tr>
    </w:tbl>
    <w:p w:rsidR="0043196E" w:rsidRPr="0043196E" w:rsidRDefault="0043196E" w:rsidP="0043196E">
      <w:pPr>
        <w:ind w:left="-567"/>
        <w:jc w:val="both"/>
        <w:rPr>
          <w:rStyle w:val="10"/>
          <w:rFonts w:ascii="Times New Roman" w:eastAsiaTheme="minorHAnsi" w:hAnsi="Times New Roman" w:cs="Times New Roman"/>
          <w:sz w:val="24"/>
          <w:szCs w:val="24"/>
        </w:rPr>
      </w:pPr>
    </w:p>
    <w:p w:rsidR="0043196E" w:rsidRPr="0043196E" w:rsidRDefault="0043196E" w:rsidP="0043196E">
      <w:pPr>
        <w:numPr>
          <w:ilvl w:val="0"/>
          <w:numId w:val="24"/>
        </w:numPr>
        <w:spacing w:after="0" w:line="240" w:lineRule="auto"/>
        <w:ind w:left="-567"/>
        <w:jc w:val="both"/>
        <w:rPr>
          <w:rFonts w:ascii="Times New Roman" w:hAnsi="Times New Roman" w:cs="Times New Roman"/>
          <w:b/>
          <w:bCs/>
          <w:sz w:val="24"/>
          <w:szCs w:val="24"/>
        </w:rPr>
      </w:pPr>
      <w:r w:rsidRPr="0043196E">
        <w:rPr>
          <w:rFonts w:ascii="Times New Roman" w:hAnsi="Times New Roman" w:cs="Times New Roman"/>
          <w:b/>
          <w:bCs/>
          <w:sz w:val="24"/>
          <w:szCs w:val="24"/>
        </w:rPr>
        <w:t>Проведение финансово-экономической экспертизы участников закупочных процедур, применяющих упрощенную систему налогообложения (УСН) и индивидуальных предпринимателей</w:t>
      </w:r>
    </w:p>
    <w:p w:rsidR="0043196E" w:rsidRPr="0043196E" w:rsidRDefault="0043196E" w:rsidP="0043196E">
      <w:pPr>
        <w:numPr>
          <w:ilvl w:val="1"/>
          <w:numId w:val="24"/>
        </w:numPr>
        <w:spacing w:after="0" w:line="240" w:lineRule="auto"/>
        <w:ind w:left="-567"/>
        <w:jc w:val="both"/>
        <w:rPr>
          <w:rFonts w:ascii="Times New Roman" w:hAnsi="Times New Roman" w:cs="Times New Roman"/>
          <w:bCs/>
          <w:sz w:val="24"/>
          <w:szCs w:val="24"/>
        </w:rPr>
      </w:pPr>
      <w:r w:rsidRPr="0043196E">
        <w:rPr>
          <w:rFonts w:ascii="Times New Roman" w:hAnsi="Times New Roman" w:cs="Times New Roman"/>
          <w:bCs/>
          <w:sz w:val="24"/>
          <w:szCs w:val="24"/>
        </w:rPr>
        <w:t>В случае если в соответствии с требованиями государственных нормативных документов, участники конкурентных закупочных процедур, применяющие упрощенную систему налогообложения, обязаны формировать бухгалтерскую отчетность (в формате ф.1 и ф.2,, специально предусмотренном для субъектов малого предпринимательства) экспертиза финансово-экономической устойчивости участников должна проводиться на основании этой отчетности в соответствии с Методикой.</w:t>
      </w:r>
    </w:p>
    <w:p w:rsidR="0043196E" w:rsidRPr="0043196E" w:rsidRDefault="0043196E" w:rsidP="0043196E">
      <w:pPr>
        <w:numPr>
          <w:ilvl w:val="1"/>
          <w:numId w:val="24"/>
        </w:numPr>
        <w:spacing w:after="0" w:line="240" w:lineRule="auto"/>
        <w:ind w:left="-567"/>
        <w:jc w:val="both"/>
        <w:rPr>
          <w:rFonts w:ascii="Times New Roman" w:hAnsi="Times New Roman" w:cs="Times New Roman"/>
          <w:bCs/>
          <w:sz w:val="24"/>
          <w:szCs w:val="24"/>
        </w:rPr>
      </w:pPr>
      <w:r w:rsidRPr="0043196E">
        <w:rPr>
          <w:rFonts w:ascii="Times New Roman" w:hAnsi="Times New Roman" w:cs="Times New Roman"/>
          <w:bCs/>
          <w:sz w:val="24"/>
          <w:szCs w:val="24"/>
        </w:rPr>
        <w:t xml:space="preserve">В случае если подготовка и подача в налоговый орган бухгалтерской отчетности в соответствие с формой № 1 (бухгалтерский баланс) и формой № 2 (отчет о прибылях и убытках) не является обязательной для компаний, применяющих упрощенную систему налогообложения, или индивидуальных предпринимателей, то для них невозможно рассчитать финансовые коэффициенты и провести объемлющий анализ финансовой устойчивости - оценка таких </w:t>
      </w:r>
      <w:r w:rsidRPr="0043196E">
        <w:rPr>
          <w:rFonts w:ascii="Times New Roman" w:hAnsi="Times New Roman" w:cs="Times New Roman"/>
          <w:bCs/>
          <w:sz w:val="24"/>
          <w:szCs w:val="24"/>
        </w:rPr>
        <w:lastRenderedPageBreak/>
        <w:t>компаний в рамках проведения финансово-экономической экспертизы осуществляется экспертно с учетом п.п. 4.3.-4.5.</w:t>
      </w:r>
    </w:p>
    <w:p w:rsidR="0043196E" w:rsidRPr="0043196E" w:rsidRDefault="0043196E" w:rsidP="0043196E">
      <w:pPr>
        <w:numPr>
          <w:ilvl w:val="1"/>
          <w:numId w:val="24"/>
        </w:numPr>
        <w:spacing w:after="0" w:line="240" w:lineRule="auto"/>
        <w:ind w:left="-567"/>
        <w:jc w:val="both"/>
        <w:rPr>
          <w:rFonts w:ascii="Times New Roman" w:hAnsi="Times New Roman" w:cs="Times New Roman"/>
          <w:bCs/>
          <w:sz w:val="24"/>
          <w:szCs w:val="24"/>
        </w:rPr>
      </w:pPr>
      <w:r w:rsidRPr="0043196E">
        <w:rPr>
          <w:rFonts w:ascii="Times New Roman" w:hAnsi="Times New Roman" w:cs="Times New Roman"/>
          <w:bCs/>
          <w:sz w:val="24"/>
          <w:szCs w:val="24"/>
        </w:rPr>
        <w:t>Решение о прохождении компанией, применяющей УСН (в условиях отсутствия бухгалтерской отчетности) или индивидуального предпринимателя, отборочной стадии может быть принято только при одновременном выполнении следующих критериев:</w:t>
      </w:r>
    </w:p>
    <w:p w:rsidR="0043196E" w:rsidRPr="0043196E" w:rsidRDefault="0043196E" w:rsidP="0043196E">
      <w:pPr>
        <w:numPr>
          <w:ilvl w:val="0"/>
          <w:numId w:val="21"/>
        </w:numPr>
        <w:spacing w:after="0" w:line="240" w:lineRule="auto"/>
        <w:ind w:left="-567" w:firstLine="0"/>
        <w:jc w:val="both"/>
        <w:rPr>
          <w:rFonts w:ascii="Times New Roman" w:hAnsi="Times New Roman" w:cs="Times New Roman"/>
          <w:bCs/>
          <w:sz w:val="24"/>
          <w:szCs w:val="24"/>
        </w:rPr>
      </w:pPr>
      <w:r w:rsidRPr="0043196E">
        <w:rPr>
          <w:rFonts w:ascii="Times New Roman" w:hAnsi="Times New Roman" w:cs="Times New Roman"/>
          <w:bCs/>
          <w:sz w:val="24"/>
          <w:szCs w:val="24"/>
        </w:rPr>
        <w:t>срок существования не менее 3 лет;</w:t>
      </w:r>
    </w:p>
    <w:p w:rsidR="0043196E" w:rsidRPr="0043196E" w:rsidRDefault="0043196E" w:rsidP="0043196E">
      <w:pPr>
        <w:numPr>
          <w:ilvl w:val="0"/>
          <w:numId w:val="21"/>
        </w:numPr>
        <w:spacing w:after="0" w:line="240" w:lineRule="auto"/>
        <w:ind w:left="-567" w:firstLine="0"/>
        <w:jc w:val="both"/>
        <w:rPr>
          <w:rFonts w:ascii="Times New Roman" w:hAnsi="Times New Roman" w:cs="Times New Roman"/>
          <w:bCs/>
          <w:sz w:val="24"/>
          <w:szCs w:val="24"/>
        </w:rPr>
      </w:pPr>
      <w:r w:rsidRPr="0043196E">
        <w:rPr>
          <w:rFonts w:ascii="Times New Roman" w:hAnsi="Times New Roman" w:cs="Times New Roman"/>
          <w:bCs/>
          <w:sz w:val="24"/>
          <w:szCs w:val="24"/>
        </w:rPr>
        <w:t>вид деятельности участника закупочной процедуры по классификации ОКВЭД совпадает с предметом закупки;</w:t>
      </w:r>
    </w:p>
    <w:p w:rsidR="0043196E" w:rsidRPr="0043196E" w:rsidRDefault="0043196E" w:rsidP="0043196E">
      <w:pPr>
        <w:numPr>
          <w:ilvl w:val="0"/>
          <w:numId w:val="21"/>
        </w:numPr>
        <w:spacing w:after="0" w:line="240" w:lineRule="auto"/>
        <w:ind w:left="-567" w:firstLine="0"/>
        <w:jc w:val="both"/>
        <w:rPr>
          <w:rFonts w:ascii="Times New Roman" w:hAnsi="Times New Roman" w:cs="Times New Roman"/>
          <w:bCs/>
          <w:sz w:val="24"/>
          <w:szCs w:val="24"/>
        </w:rPr>
      </w:pPr>
      <w:r w:rsidRPr="0043196E">
        <w:rPr>
          <w:rFonts w:ascii="Times New Roman" w:hAnsi="Times New Roman" w:cs="Times New Roman"/>
          <w:bCs/>
          <w:sz w:val="24"/>
          <w:szCs w:val="24"/>
        </w:rPr>
        <w:t>компания имеет необходимые материально-технические и кадровые ресурсы (согласно предоставленным справкам);</w:t>
      </w:r>
    </w:p>
    <w:p w:rsidR="0043196E" w:rsidRPr="0043196E" w:rsidRDefault="0043196E" w:rsidP="0043196E">
      <w:pPr>
        <w:numPr>
          <w:ilvl w:val="0"/>
          <w:numId w:val="21"/>
        </w:numPr>
        <w:spacing w:after="0" w:line="240" w:lineRule="auto"/>
        <w:ind w:left="-567" w:firstLine="0"/>
        <w:jc w:val="both"/>
        <w:rPr>
          <w:rFonts w:ascii="Times New Roman" w:hAnsi="Times New Roman" w:cs="Times New Roman"/>
          <w:bCs/>
          <w:sz w:val="24"/>
          <w:szCs w:val="24"/>
        </w:rPr>
      </w:pPr>
      <w:r w:rsidRPr="0043196E">
        <w:rPr>
          <w:rFonts w:ascii="Times New Roman" w:hAnsi="Times New Roman" w:cs="Times New Roman"/>
          <w:bCs/>
          <w:sz w:val="24"/>
          <w:szCs w:val="24"/>
        </w:rPr>
        <w:t>начальная (максимальная) цена без НДС не превышает 140% годового дохода (согласно налоговой декларации);</w:t>
      </w:r>
    </w:p>
    <w:p w:rsidR="0043196E" w:rsidRPr="0043196E" w:rsidRDefault="0043196E" w:rsidP="0043196E">
      <w:pPr>
        <w:numPr>
          <w:ilvl w:val="0"/>
          <w:numId w:val="21"/>
        </w:numPr>
        <w:spacing w:after="0" w:line="240" w:lineRule="auto"/>
        <w:ind w:left="-567" w:firstLine="0"/>
        <w:jc w:val="both"/>
        <w:rPr>
          <w:rFonts w:ascii="Times New Roman" w:hAnsi="Times New Roman" w:cs="Times New Roman"/>
          <w:bCs/>
          <w:sz w:val="24"/>
          <w:szCs w:val="24"/>
        </w:rPr>
      </w:pPr>
      <w:r w:rsidRPr="0043196E">
        <w:rPr>
          <w:rFonts w:ascii="Times New Roman" w:hAnsi="Times New Roman" w:cs="Times New Roman"/>
          <w:bCs/>
          <w:sz w:val="24"/>
          <w:szCs w:val="24"/>
        </w:rPr>
        <w:t xml:space="preserve">отсутствует </w:t>
      </w:r>
      <w:r w:rsidRPr="0043196E">
        <w:rPr>
          <w:rFonts w:ascii="Times New Roman" w:hAnsi="Times New Roman" w:cs="Times New Roman"/>
          <w:sz w:val="24"/>
          <w:szCs w:val="24"/>
        </w:rPr>
        <w:t>задолженность по начисленным налогам, сборам и иным обязательным платежам</w:t>
      </w:r>
    </w:p>
    <w:p w:rsidR="0043196E" w:rsidRPr="0043196E" w:rsidRDefault="0043196E" w:rsidP="0043196E">
      <w:pPr>
        <w:numPr>
          <w:ilvl w:val="0"/>
          <w:numId w:val="21"/>
        </w:numPr>
        <w:spacing w:after="0" w:line="240" w:lineRule="auto"/>
        <w:ind w:left="-567" w:firstLine="0"/>
        <w:jc w:val="both"/>
        <w:rPr>
          <w:rFonts w:ascii="Times New Roman" w:hAnsi="Times New Roman" w:cs="Times New Roman"/>
          <w:bCs/>
          <w:sz w:val="24"/>
          <w:szCs w:val="24"/>
        </w:rPr>
      </w:pPr>
      <w:r w:rsidRPr="0043196E">
        <w:rPr>
          <w:rFonts w:ascii="Times New Roman" w:hAnsi="Times New Roman" w:cs="Times New Roman"/>
          <w:bCs/>
          <w:sz w:val="24"/>
          <w:szCs w:val="24"/>
        </w:rPr>
        <w:t>финансовые условия сделки не предусматривают выплату аванса, не покрытого банковской гарантией.</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bCs/>
          <w:sz w:val="24"/>
          <w:szCs w:val="24"/>
        </w:rPr>
        <w:t>За исключением случаев, описанных ниже в п. 4.5. несоответствие хотя бы по одному из перечисленных выше критериев должно являться основанием для отклонения предложения участника закупочной процедуры, применяющего УСН (в условиях отсутствия бухгалтерской отчетности) или индивидуального предпринимателя, на отборочной стадии.</w:t>
      </w:r>
    </w:p>
    <w:p w:rsidR="0043196E" w:rsidRPr="0043196E" w:rsidRDefault="0043196E" w:rsidP="0043196E">
      <w:pPr>
        <w:numPr>
          <w:ilvl w:val="1"/>
          <w:numId w:val="24"/>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С целью расширения доступа компаний, применяющих упрощенную систему налогообложения (УСН) и индивидуальных предпринимателей к участию в конкурентных закупочных процедурах, организованных Обществом, в случаях, когда не выполнен только критерий соответствия масштабов деятельности участника стоимости планируемой закупки, и при этом все остальные критерии выполнены, включая отсутствие аванса, разрешается для ограниченного перечня конкурентных закупочных процедур экспертно допускать участников до оценочной стадии. Итоговая оценка при этом не должна превышать 1 по пятибалльной шкале (минимально допустимый уровень). Перечень конкурентных закупочных процедур для которых применимы положения настоящего пункта ограничивается закупочными процедурами по перечисленным ниже статьям расходов Общества, плановая стоимость закупки по которым не превышает 30 млн. рублей без НДС:</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административно-хозяйственные расходы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охрана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консультационные и информационные расходы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аудит и оценка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юридические услуги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корпоративное управление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расходы на персонал (поставки и услуги);</w:t>
      </w:r>
    </w:p>
    <w:p w:rsidR="0043196E" w:rsidRPr="0043196E" w:rsidRDefault="0043196E" w:rsidP="0043196E">
      <w:pPr>
        <w:numPr>
          <w:ilvl w:val="3"/>
          <w:numId w:val="23"/>
        </w:numPr>
        <w:spacing w:after="0" w:line="240" w:lineRule="auto"/>
        <w:ind w:left="-567"/>
        <w:jc w:val="both"/>
        <w:rPr>
          <w:rFonts w:ascii="Times New Roman" w:hAnsi="Times New Roman" w:cs="Times New Roman"/>
          <w:sz w:val="24"/>
          <w:szCs w:val="24"/>
        </w:rPr>
      </w:pPr>
      <w:r w:rsidRPr="0043196E">
        <w:rPr>
          <w:rFonts w:ascii="Times New Roman" w:hAnsi="Times New Roman" w:cs="Times New Roman"/>
          <w:sz w:val="24"/>
          <w:szCs w:val="24"/>
        </w:rPr>
        <w:t>реклама и маркетинг (поставки и услуги).</w:t>
      </w:r>
    </w:p>
    <w:p w:rsidR="0043196E" w:rsidRPr="0043196E" w:rsidRDefault="0043196E" w:rsidP="0043196E">
      <w:pPr>
        <w:numPr>
          <w:ilvl w:val="1"/>
          <w:numId w:val="24"/>
        </w:numPr>
        <w:spacing w:after="0" w:line="240" w:lineRule="auto"/>
        <w:ind w:left="-567"/>
        <w:jc w:val="both"/>
        <w:rPr>
          <w:rFonts w:ascii="Times New Roman" w:hAnsi="Times New Roman" w:cs="Times New Roman"/>
          <w:bCs/>
          <w:kern w:val="32"/>
          <w:sz w:val="24"/>
          <w:szCs w:val="24"/>
        </w:rPr>
      </w:pPr>
      <w:r w:rsidRPr="0043196E">
        <w:rPr>
          <w:rFonts w:ascii="Times New Roman" w:hAnsi="Times New Roman" w:cs="Times New Roman"/>
          <w:bCs/>
          <w:sz w:val="24"/>
          <w:szCs w:val="24"/>
        </w:rPr>
        <w:t>При отсутствии данных бухгалтерской отчетности в рамках проведения финансово-экономической экспертизы на оценочной стадии, компании, применяющей УСН, или индивидуальному предпринимателю не может быть присвоена оценка выше 1 (минимально допустимый уровень).</w:t>
      </w:r>
    </w:p>
    <w:p w:rsidR="0043196E" w:rsidRPr="0043196E" w:rsidRDefault="0043196E" w:rsidP="0043196E">
      <w:pPr>
        <w:rPr>
          <w:rStyle w:val="10"/>
          <w:rFonts w:ascii="Times New Roman" w:eastAsiaTheme="minorHAnsi" w:hAnsi="Times New Roman" w:cs="Times New Roman"/>
          <w:sz w:val="24"/>
          <w:szCs w:val="24"/>
        </w:rPr>
      </w:pPr>
      <w:r w:rsidRPr="0043196E">
        <w:rPr>
          <w:rStyle w:val="10"/>
          <w:rFonts w:ascii="Times New Roman" w:eastAsiaTheme="minorHAnsi" w:hAnsi="Times New Roman" w:cs="Times New Roman"/>
          <w:sz w:val="24"/>
          <w:szCs w:val="24"/>
        </w:rPr>
        <w:br w:type="page"/>
      </w:r>
    </w:p>
    <w:p w:rsidR="0043196E" w:rsidRPr="00072562" w:rsidRDefault="00072562" w:rsidP="00072562">
      <w:pPr>
        <w:pStyle w:val="2"/>
        <w:rPr>
          <w:rStyle w:val="10"/>
          <w:rFonts w:ascii="Times New Roman" w:eastAsiaTheme="minorHAnsi" w:hAnsi="Times New Roman" w:cs="Times New Roman"/>
          <w:b/>
          <w:sz w:val="24"/>
          <w:szCs w:val="24"/>
        </w:rPr>
      </w:pPr>
      <w:bookmarkStart w:id="121" w:name="_Toc516132536"/>
      <w:r>
        <w:rPr>
          <w:rStyle w:val="10"/>
          <w:rFonts w:ascii="Times New Roman" w:eastAsiaTheme="minorHAnsi" w:hAnsi="Times New Roman" w:cs="Times New Roman"/>
          <w:b/>
          <w:sz w:val="24"/>
          <w:szCs w:val="24"/>
        </w:rPr>
        <w:lastRenderedPageBreak/>
        <w:t xml:space="preserve">           </w:t>
      </w:r>
      <w:bookmarkStart w:id="122" w:name="_Toc519591617"/>
      <w:r w:rsidR="0043196E" w:rsidRPr="00072562">
        <w:rPr>
          <w:rStyle w:val="10"/>
          <w:rFonts w:ascii="Times New Roman" w:eastAsiaTheme="minorHAnsi" w:hAnsi="Times New Roman" w:cs="Times New Roman"/>
          <w:b/>
          <w:sz w:val="24"/>
          <w:szCs w:val="24"/>
        </w:rPr>
        <w:t>Приложение 4 Ф</w:t>
      </w:r>
      <w:bookmarkEnd w:id="116"/>
      <w:r w:rsidR="0043196E" w:rsidRPr="00072562">
        <w:rPr>
          <w:rStyle w:val="10"/>
          <w:rFonts w:ascii="Times New Roman" w:eastAsiaTheme="minorHAnsi" w:hAnsi="Times New Roman" w:cs="Times New Roman"/>
          <w:b/>
          <w:sz w:val="24"/>
          <w:szCs w:val="24"/>
        </w:rPr>
        <w:t>ормат заключения</w:t>
      </w:r>
      <w:bookmarkEnd w:id="117"/>
      <w:bookmarkEnd w:id="118"/>
      <w:bookmarkEnd w:id="119"/>
      <w:r w:rsidR="0043196E" w:rsidRPr="00072562">
        <w:rPr>
          <w:rStyle w:val="10"/>
          <w:rFonts w:ascii="Times New Roman" w:eastAsiaTheme="minorHAnsi" w:hAnsi="Times New Roman" w:cs="Times New Roman"/>
          <w:b/>
          <w:sz w:val="24"/>
          <w:szCs w:val="24"/>
        </w:rPr>
        <w:t xml:space="preserve"> по направлению финансово-экономической экспертизы с использованием шаблона «Финэкспертиза.</w:t>
      </w:r>
      <w:r w:rsidR="0043196E" w:rsidRPr="00072562">
        <w:rPr>
          <w:rStyle w:val="10"/>
          <w:rFonts w:ascii="Times New Roman" w:eastAsiaTheme="minorHAnsi" w:hAnsi="Times New Roman" w:cs="Times New Roman"/>
          <w:b/>
          <w:sz w:val="24"/>
          <w:szCs w:val="24"/>
          <w:lang w:val="en-US"/>
        </w:rPr>
        <w:t>xls</w:t>
      </w:r>
      <w:r w:rsidR="0043196E" w:rsidRPr="00072562">
        <w:rPr>
          <w:rStyle w:val="10"/>
          <w:rFonts w:ascii="Times New Roman" w:eastAsiaTheme="minorHAnsi" w:hAnsi="Times New Roman" w:cs="Times New Roman"/>
          <w:b/>
          <w:sz w:val="24"/>
          <w:szCs w:val="24"/>
        </w:rPr>
        <w:t>»</w:t>
      </w:r>
      <w:bookmarkEnd w:id="121"/>
      <w:bookmarkEnd w:id="122"/>
      <w:r w:rsidR="0043196E" w:rsidRPr="00072562">
        <w:rPr>
          <w:rStyle w:val="af1"/>
          <w:b w:val="0"/>
          <w:i w:val="0"/>
          <w:iCs w:val="0"/>
        </w:rPr>
        <w:t xml:space="preserve"> </w:t>
      </w:r>
    </w:p>
    <w:p w:rsidR="0043196E" w:rsidRPr="0043196E" w:rsidRDefault="0043196E" w:rsidP="0043196E">
      <w:pPr>
        <w:ind w:left="-567"/>
        <w:jc w:val="both"/>
        <w:rPr>
          <w:rStyle w:val="10"/>
          <w:rFonts w:ascii="Times New Roman" w:eastAsiaTheme="minorHAnsi" w:hAnsi="Times New Roman" w:cs="Times New Roman"/>
          <w:sz w:val="24"/>
          <w:szCs w:val="24"/>
        </w:rPr>
      </w:pPr>
      <w:bookmarkStart w:id="123" w:name="_Toc516132537"/>
      <w:r w:rsidRPr="0043196E">
        <w:rPr>
          <w:rFonts w:ascii="Times New Roman" w:hAnsi="Times New Roman" w:cs="Times New Roman"/>
          <w:noProof/>
          <w:kern w:val="32"/>
          <w:sz w:val="24"/>
          <w:szCs w:val="24"/>
          <w:lang w:eastAsia="ru-RU"/>
        </w:rPr>
        <w:drawing>
          <wp:inline distT="0" distB="0" distL="0" distR="0" wp14:anchorId="2E4A3E6A" wp14:editId="714928F2">
            <wp:extent cx="6210300" cy="81057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07187" cy="8101712"/>
                    </a:xfrm>
                    <a:prstGeom prst="rect">
                      <a:avLst/>
                    </a:prstGeom>
                    <a:noFill/>
                    <a:ln>
                      <a:noFill/>
                    </a:ln>
                  </pic:spPr>
                </pic:pic>
              </a:graphicData>
            </a:graphic>
          </wp:inline>
        </w:drawing>
      </w:r>
      <w:bookmarkEnd w:id="123"/>
    </w:p>
    <w:p w:rsidR="0043196E" w:rsidRPr="0043196E" w:rsidRDefault="0043196E" w:rsidP="0043196E">
      <w:pPr>
        <w:ind w:left="-567"/>
        <w:jc w:val="both"/>
        <w:rPr>
          <w:rStyle w:val="10"/>
          <w:rFonts w:ascii="Times New Roman" w:eastAsiaTheme="minorHAnsi" w:hAnsi="Times New Roman" w:cs="Times New Roman"/>
          <w:b w:val="0"/>
          <w:sz w:val="24"/>
          <w:szCs w:val="24"/>
        </w:rPr>
      </w:pPr>
      <w:bookmarkStart w:id="124" w:name="_Toc516132538"/>
      <w:r w:rsidRPr="0043196E">
        <w:rPr>
          <w:rFonts w:ascii="Times New Roman" w:hAnsi="Times New Roman" w:cs="Times New Roman"/>
          <w:noProof/>
          <w:kern w:val="32"/>
          <w:sz w:val="24"/>
          <w:szCs w:val="24"/>
          <w:lang w:eastAsia="ru-RU"/>
        </w:rPr>
        <w:lastRenderedPageBreak/>
        <w:drawing>
          <wp:inline distT="0" distB="0" distL="0" distR="0" wp14:anchorId="3033A06B" wp14:editId="479E02EF">
            <wp:extent cx="6200775" cy="65436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03784" cy="6546850"/>
                    </a:xfrm>
                    <a:prstGeom prst="rect">
                      <a:avLst/>
                    </a:prstGeom>
                    <a:noFill/>
                    <a:ln>
                      <a:noFill/>
                    </a:ln>
                  </pic:spPr>
                </pic:pic>
              </a:graphicData>
            </a:graphic>
          </wp:inline>
        </w:drawing>
      </w:r>
      <w:bookmarkEnd w:id="124"/>
    </w:p>
    <w:p w:rsidR="0043196E" w:rsidRPr="0043196E" w:rsidRDefault="0043196E" w:rsidP="0043196E">
      <w:pPr>
        <w:ind w:left="-567"/>
        <w:rPr>
          <w:rStyle w:val="af1"/>
          <w:rFonts w:ascii="Times New Roman" w:hAnsi="Times New Roman" w:cs="Times New Roman"/>
          <w:sz w:val="24"/>
          <w:szCs w:val="24"/>
        </w:rPr>
      </w:pPr>
    </w:p>
    <w:p w:rsidR="0043196E" w:rsidRPr="0043196E" w:rsidRDefault="0043196E" w:rsidP="0043196E">
      <w:pPr>
        <w:ind w:left="-567"/>
        <w:rPr>
          <w:rStyle w:val="af1"/>
          <w:rFonts w:ascii="Times New Roman" w:hAnsi="Times New Roman" w:cs="Times New Roman"/>
          <w:sz w:val="24"/>
          <w:szCs w:val="24"/>
        </w:rPr>
      </w:pPr>
    </w:p>
    <w:p w:rsidR="0043196E" w:rsidRPr="00072562" w:rsidRDefault="0043196E" w:rsidP="00072562">
      <w:pPr>
        <w:pStyle w:val="2"/>
        <w:rPr>
          <w:rStyle w:val="af1"/>
          <w:b w:val="0"/>
        </w:rPr>
      </w:pPr>
      <w:r w:rsidRPr="0043196E">
        <w:rPr>
          <w:rStyle w:val="af1"/>
        </w:rPr>
        <w:br w:type="page"/>
      </w:r>
      <w:bookmarkStart w:id="125" w:name="_Toc516132539"/>
      <w:r w:rsidR="00072562">
        <w:rPr>
          <w:rStyle w:val="af1"/>
        </w:rPr>
        <w:lastRenderedPageBreak/>
        <w:t xml:space="preserve">            </w:t>
      </w:r>
      <w:bookmarkStart w:id="126" w:name="_Toc519591618"/>
      <w:r w:rsidRPr="00072562">
        <w:rPr>
          <w:rStyle w:val="10"/>
          <w:rFonts w:ascii="Times New Roman" w:eastAsiaTheme="minorHAnsi" w:hAnsi="Times New Roman" w:cs="Times New Roman"/>
          <w:b/>
          <w:sz w:val="24"/>
          <w:szCs w:val="24"/>
        </w:rPr>
        <w:t>Приложение 5 Формат заключения по направлению финансово-экономической экспертизы с использованием шаблона «Финэкспертиза_МСП.</w:t>
      </w:r>
      <w:r w:rsidRPr="00072562">
        <w:rPr>
          <w:rStyle w:val="10"/>
          <w:rFonts w:ascii="Times New Roman" w:eastAsiaTheme="minorHAnsi" w:hAnsi="Times New Roman" w:cs="Times New Roman"/>
          <w:b/>
          <w:sz w:val="24"/>
          <w:szCs w:val="24"/>
          <w:lang w:val="en-US"/>
        </w:rPr>
        <w:t>xls</w:t>
      </w:r>
      <w:r w:rsidRPr="00072562">
        <w:rPr>
          <w:rStyle w:val="10"/>
          <w:rFonts w:ascii="Times New Roman" w:eastAsiaTheme="minorHAnsi" w:hAnsi="Times New Roman" w:cs="Times New Roman"/>
          <w:b/>
          <w:sz w:val="24"/>
          <w:szCs w:val="24"/>
        </w:rPr>
        <w:t>»</w:t>
      </w:r>
      <w:bookmarkEnd w:id="125"/>
      <w:bookmarkEnd w:id="126"/>
      <w:r w:rsidRPr="00072562">
        <w:rPr>
          <w:rStyle w:val="af4"/>
          <w:b w:val="0"/>
          <w:bCs w:val="0"/>
        </w:rPr>
        <w:t xml:space="preserve"> </w:t>
      </w:r>
    </w:p>
    <w:p w:rsidR="0043196E" w:rsidRPr="0043196E" w:rsidRDefault="0043196E" w:rsidP="0043196E">
      <w:pPr>
        <w:ind w:left="-567"/>
        <w:rPr>
          <w:rStyle w:val="af1"/>
          <w:rFonts w:ascii="Times New Roman" w:hAnsi="Times New Roman" w:cs="Times New Roman"/>
          <w:sz w:val="24"/>
          <w:szCs w:val="24"/>
        </w:rPr>
      </w:pPr>
      <w:r w:rsidRPr="0043196E">
        <w:rPr>
          <w:rFonts w:ascii="Times New Roman" w:hAnsi="Times New Roman" w:cs="Times New Roman"/>
          <w:noProof/>
          <w:sz w:val="24"/>
          <w:szCs w:val="24"/>
          <w:lang w:eastAsia="ru-RU"/>
        </w:rPr>
        <w:drawing>
          <wp:inline distT="0" distB="0" distL="0" distR="0" wp14:anchorId="13E37167" wp14:editId="17824972">
            <wp:extent cx="6219825" cy="775994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32441" cy="7775687"/>
                    </a:xfrm>
                    <a:prstGeom prst="rect">
                      <a:avLst/>
                    </a:prstGeom>
                    <a:noFill/>
                    <a:ln>
                      <a:noFill/>
                    </a:ln>
                  </pic:spPr>
                </pic:pic>
              </a:graphicData>
            </a:graphic>
          </wp:inline>
        </w:drawing>
      </w:r>
    </w:p>
    <w:p w:rsidR="0043196E" w:rsidRPr="0043196E" w:rsidRDefault="0043196E" w:rsidP="00072562">
      <w:pPr>
        <w:ind w:left="-567"/>
        <w:rPr>
          <w:rStyle w:val="af1"/>
          <w:sz w:val="24"/>
        </w:rPr>
      </w:pPr>
      <w:r w:rsidRPr="0043196E">
        <w:rPr>
          <w:rFonts w:ascii="Times New Roman" w:hAnsi="Times New Roman" w:cs="Times New Roman"/>
          <w:noProof/>
          <w:sz w:val="24"/>
          <w:szCs w:val="24"/>
          <w:lang w:eastAsia="ru-RU"/>
        </w:rPr>
        <w:lastRenderedPageBreak/>
        <w:drawing>
          <wp:inline distT="0" distB="0" distL="0" distR="0" wp14:anchorId="49909498" wp14:editId="4AA177B7">
            <wp:extent cx="6191250" cy="6686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91250" cy="6686550"/>
                    </a:xfrm>
                    <a:prstGeom prst="rect">
                      <a:avLst/>
                    </a:prstGeom>
                    <a:noFill/>
                    <a:ln>
                      <a:noFill/>
                    </a:ln>
                  </pic:spPr>
                </pic:pic>
              </a:graphicData>
            </a:graphic>
          </wp:inline>
        </w:drawing>
      </w:r>
    </w:p>
    <w:sectPr w:rsidR="0043196E" w:rsidRPr="0043196E" w:rsidSect="00DE0192">
      <w:headerReference w:type="default" r:id="rId26"/>
      <w:footerReference w:type="default" r:id="rId27"/>
      <w:headerReference w:type="first" r:id="rId2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AE4" w:rsidRDefault="00852AE4" w:rsidP="0043196E">
      <w:pPr>
        <w:spacing w:after="0" w:line="240" w:lineRule="auto"/>
      </w:pPr>
      <w:r>
        <w:separator/>
      </w:r>
    </w:p>
  </w:endnote>
  <w:endnote w:type="continuationSeparator" w:id="0">
    <w:p w:rsidR="00852AE4" w:rsidRDefault="00852AE4" w:rsidP="00431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4665257"/>
      <w:docPartObj>
        <w:docPartGallery w:val="Page Numbers (Bottom of Page)"/>
        <w:docPartUnique/>
      </w:docPartObj>
    </w:sdtPr>
    <w:sdtContent>
      <w:p w:rsidR="00440A4B" w:rsidRDefault="00440A4B">
        <w:pPr>
          <w:pStyle w:val="af"/>
          <w:jc w:val="right"/>
        </w:pPr>
        <w:r>
          <w:fldChar w:fldCharType="begin"/>
        </w:r>
        <w:r>
          <w:instrText>PAGE   \* MERGEFORMAT</w:instrText>
        </w:r>
        <w:r>
          <w:fldChar w:fldCharType="separate"/>
        </w:r>
        <w:r w:rsidR="003817BF">
          <w:rPr>
            <w:noProof/>
          </w:rPr>
          <w:t>21</w:t>
        </w:r>
        <w:r>
          <w:fldChar w:fldCharType="end"/>
        </w:r>
      </w:p>
    </w:sdtContent>
  </w:sdt>
  <w:p w:rsidR="00440A4B" w:rsidRDefault="00440A4B" w:rsidP="00906887">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AE4" w:rsidRDefault="00852AE4" w:rsidP="0043196E">
      <w:pPr>
        <w:spacing w:after="0" w:line="240" w:lineRule="auto"/>
      </w:pPr>
      <w:r>
        <w:separator/>
      </w:r>
    </w:p>
  </w:footnote>
  <w:footnote w:type="continuationSeparator" w:id="0">
    <w:p w:rsidR="00852AE4" w:rsidRDefault="00852AE4" w:rsidP="004319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6"/>
      <w:gridCol w:w="4936"/>
      <w:gridCol w:w="2268"/>
    </w:tblGrid>
    <w:tr w:rsidR="00440A4B" w:rsidRPr="00A62BF8" w:rsidTr="00440A4B">
      <w:trPr>
        <w:cantSplit/>
        <w:trHeight w:val="242"/>
      </w:trPr>
      <w:tc>
        <w:tcPr>
          <w:tcW w:w="2436" w:type="dxa"/>
          <w:vMerge w:val="restart"/>
          <w:vAlign w:val="center"/>
        </w:tcPr>
        <w:p w:rsidR="00440A4B" w:rsidRDefault="00440A4B" w:rsidP="00440A4B">
          <w:pPr>
            <w:pStyle w:val="a4"/>
            <w:jc w:val="center"/>
            <w:rPr>
              <w:b/>
              <w:bCs/>
              <w:sz w:val="20"/>
            </w:rPr>
          </w:pPr>
          <w:r w:rsidRPr="000019DF">
            <w:rPr>
              <w:b/>
              <w:noProof/>
            </w:rPr>
            <w:drawing>
              <wp:anchor distT="0" distB="0" distL="114935" distR="114935" simplePos="0" relativeHeight="251663360" behindDoc="1" locked="0" layoutInCell="1" allowOverlap="1" wp14:anchorId="2CDD0AD5" wp14:editId="36F564BF">
                <wp:simplePos x="0" y="0"/>
                <wp:positionH relativeFrom="page">
                  <wp:posOffset>-777875</wp:posOffset>
                </wp:positionH>
                <wp:positionV relativeFrom="page">
                  <wp:posOffset>-88265</wp:posOffset>
                </wp:positionV>
                <wp:extent cx="3115945" cy="680085"/>
                <wp:effectExtent l="0" t="0" r="8255" b="5715"/>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86083"/>
                        <a:stretch/>
                      </pic:blipFill>
                      <pic:spPr bwMode="auto">
                        <a:xfrm>
                          <a:off x="0" y="0"/>
                          <a:ext cx="3115945" cy="68008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936" w:type="dxa"/>
          <w:vMerge w:val="restart"/>
          <w:vAlign w:val="center"/>
        </w:tcPr>
        <w:p w:rsidR="00440A4B" w:rsidRDefault="00440A4B" w:rsidP="00440A4B">
          <w:pPr>
            <w:pStyle w:val="a4"/>
            <w:jc w:val="center"/>
            <w:rPr>
              <w:rFonts w:ascii="Arial" w:hAnsi="Arial" w:cs="Arial"/>
            </w:rPr>
          </w:pPr>
          <w:r>
            <w:rPr>
              <w:rFonts w:ascii="Arial" w:hAnsi="Arial" w:cs="Arial"/>
            </w:rPr>
            <w:t xml:space="preserve">Методика </w:t>
          </w:r>
          <w:r w:rsidRPr="00A62BF8">
            <w:rPr>
              <w:rFonts w:ascii="Arial" w:hAnsi="Arial" w:cs="Arial"/>
            </w:rPr>
            <w:t>«</w:t>
          </w:r>
          <w:r>
            <w:rPr>
              <w:rFonts w:ascii="Arial" w:hAnsi="Arial" w:cs="Arial"/>
            </w:rPr>
            <w:t xml:space="preserve">Проведение экспертизы финансово-экономической устойчивости участников закупочных процедур </w:t>
          </w:r>
        </w:p>
        <w:p w:rsidR="00440A4B" w:rsidRPr="00256DB8" w:rsidRDefault="00440A4B" w:rsidP="00440A4B">
          <w:pPr>
            <w:pStyle w:val="a4"/>
            <w:jc w:val="center"/>
            <w:rPr>
              <w:rFonts w:ascii="Arial" w:hAnsi="Arial" w:cs="Arial"/>
            </w:rPr>
          </w:pPr>
          <w:r>
            <w:rPr>
              <w:rFonts w:ascii="Arial" w:hAnsi="Arial" w:cs="Arial"/>
            </w:rPr>
            <w:t>ПАО «Томскэнергосбыт»</w:t>
          </w:r>
        </w:p>
      </w:tc>
      <w:tc>
        <w:tcPr>
          <w:tcW w:w="2268" w:type="dxa"/>
          <w:vAlign w:val="center"/>
        </w:tcPr>
        <w:p w:rsidR="00440A4B" w:rsidRPr="00A62BF8" w:rsidRDefault="00440A4B" w:rsidP="00440A4B">
          <w:pPr>
            <w:pStyle w:val="a4"/>
            <w:jc w:val="center"/>
            <w:rPr>
              <w:rFonts w:ascii="Arial" w:hAnsi="Arial" w:cs="Arial"/>
            </w:rPr>
          </w:pPr>
          <w:r>
            <w:rPr>
              <w:rFonts w:ascii="Arial" w:hAnsi="Arial" w:cs="Arial"/>
            </w:rPr>
            <w:t>МТ-065-2</w:t>
          </w:r>
        </w:p>
      </w:tc>
    </w:tr>
    <w:tr w:rsidR="00440A4B" w:rsidRPr="00A62BF8" w:rsidTr="00440A4B">
      <w:trPr>
        <w:cantSplit/>
        <w:trHeight w:val="329"/>
      </w:trPr>
      <w:tc>
        <w:tcPr>
          <w:tcW w:w="2436" w:type="dxa"/>
          <w:vMerge/>
          <w:vAlign w:val="center"/>
        </w:tcPr>
        <w:p w:rsidR="00440A4B" w:rsidRDefault="00440A4B" w:rsidP="00440A4B">
          <w:pPr>
            <w:pStyle w:val="a4"/>
            <w:jc w:val="center"/>
            <w:rPr>
              <w:sz w:val="20"/>
            </w:rPr>
          </w:pPr>
        </w:p>
      </w:tc>
      <w:tc>
        <w:tcPr>
          <w:tcW w:w="4936" w:type="dxa"/>
          <w:vMerge/>
        </w:tcPr>
        <w:p w:rsidR="00440A4B" w:rsidRDefault="00440A4B" w:rsidP="00440A4B">
          <w:pPr>
            <w:spacing w:line="360" w:lineRule="auto"/>
            <w:jc w:val="center"/>
            <w:rPr>
              <w:b/>
              <w:bCs/>
              <w:sz w:val="20"/>
            </w:rPr>
          </w:pPr>
        </w:p>
      </w:tc>
      <w:tc>
        <w:tcPr>
          <w:tcW w:w="2268" w:type="dxa"/>
          <w:vAlign w:val="center"/>
        </w:tcPr>
        <w:p w:rsidR="00440A4B" w:rsidRPr="00A62BF8" w:rsidRDefault="00440A4B" w:rsidP="00440A4B">
          <w:pPr>
            <w:pStyle w:val="a4"/>
            <w:jc w:val="center"/>
            <w:rPr>
              <w:rFonts w:ascii="Arial" w:hAnsi="Arial" w:cs="Arial"/>
            </w:rPr>
          </w:pPr>
          <w:r w:rsidRPr="004F7F37">
            <w:rPr>
              <w:rFonts w:ascii="Arial" w:hAnsi="Arial" w:cs="Arial"/>
            </w:rPr>
            <w:t>Для внутреннего использования</w:t>
          </w:r>
        </w:p>
      </w:tc>
    </w:tr>
  </w:tbl>
  <w:p w:rsidR="00440A4B" w:rsidRDefault="00440A4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6"/>
      <w:gridCol w:w="4936"/>
      <w:gridCol w:w="2268"/>
    </w:tblGrid>
    <w:tr w:rsidR="00440A4B" w:rsidRPr="00A62BF8" w:rsidTr="00440A4B">
      <w:trPr>
        <w:cantSplit/>
        <w:trHeight w:val="242"/>
      </w:trPr>
      <w:tc>
        <w:tcPr>
          <w:tcW w:w="2436" w:type="dxa"/>
          <w:vMerge w:val="restart"/>
          <w:vAlign w:val="center"/>
        </w:tcPr>
        <w:p w:rsidR="00440A4B" w:rsidRDefault="00440A4B" w:rsidP="00440A4B">
          <w:pPr>
            <w:pStyle w:val="a4"/>
            <w:jc w:val="center"/>
            <w:rPr>
              <w:b/>
              <w:bCs/>
              <w:sz w:val="20"/>
            </w:rPr>
          </w:pPr>
          <w:r w:rsidRPr="000019DF">
            <w:rPr>
              <w:b/>
              <w:noProof/>
            </w:rPr>
            <w:drawing>
              <wp:anchor distT="0" distB="0" distL="114935" distR="114935" simplePos="0" relativeHeight="251665408" behindDoc="1" locked="0" layoutInCell="1" allowOverlap="1" wp14:anchorId="711BFC27" wp14:editId="59A553E3">
                <wp:simplePos x="0" y="0"/>
                <wp:positionH relativeFrom="page">
                  <wp:posOffset>-777875</wp:posOffset>
                </wp:positionH>
                <wp:positionV relativeFrom="page">
                  <wp:posOffset>-88265</wp:posOffset>
                </wp:positionV>
                <wp:extent cx="3115945" cy="680085"/>
                <wp:effectExtent l="0" t="0" r="8255" b="571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86083"/>
                        <a:stretch/>
                      </pic:blipFill>
                      <pic:spPr bwMode="auto">
                        <a:xfrm>
                          <a:off x="0" y="0"/>
                          <a:ext cx="3115945" cy="68008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936" w:type="dxa"/>
          <w:vMerge w:val="restart"/>
          <w:vAlign w:val="center"/>
        </w:tcPr>
        <w:p w:rsidR="00440A4B" w:rsidRDefault="00440A4B" w:rsidP="00440A4B">
          <w:pPr>
            <w:pStyle w:val="a4"/>
            <w:jc w:val="center"/>
            <w:rPr>
              <w:rFonts w:ascii="Arial" w:hAnsi="Arial" w:cs="Arial"/>
            </w:rPr>
          </w:pPr>
          <w:r>
            <w:rPr>
              <w:rFonts w:ascii="Arial" w:hAnsi="Arial" w:cs="Arial"/>
            </w:rPr>
            <w:t xml:space="preserve">Методика </w:t>
          </w:r>
          <w:r w:rsidRPr="00A62BF8">
            <w:rPr>
              <w:rFonts w:ascii="Arial" w:hAnsi="Arial" w:cs="Arial"/>
            </w:rPr>
            <w:t>«</w:t>
          </w:r>
          <w:r>
            <w:rPr>
              <w:rFonts w:ascii="Arial" w:hAnsi="Arial" w:cs="Arial"/>
            </w:rPr>
            <w:t xml:space="preserve">Проведение экспертизы финансово-экономической устойчивости участников закупочных процедур </w:t>
          </w:r>
        </w:p>
        <w:p w:rsidR="00440A4B" w:rsidRPr="00256DB8" w:rsidRDefault="00440A4B" w:rsidP="00440A4B">
          <w:pPr>
            <w:pStyle w:val="a4"/>
            <w:jc w:val="center"/>
            <w:rPr>
              <w:rFonts w:ascii="Arial" w:hAnsi="Arial" w:cs="Arial"/>
            </w:rPr>
          </w:pPr>
          <w:r>
            <w:rPr>
              <w:rFonts w:ascii="Arial" w:hAnsi="Arial" w:cs="Arial"/>
            </w:rPr>
            <w:t>ПАО «</w:t>
          </w:r>
          <w:proofErr w:type="spellStart"/>
          <w:r>
            <w:rPr>
              <w:rFonts w:ascii="Arial" w:hAnsi="Arial" w:cs="Arial"/>
            </w:rPr>
            <w:t>Томскэнергосбыт</w:t>
          </w:r>
          <w:proofErr w:type="spellEnd"/>
          <w:r>
            <w:rPr>
              <w:rFonts w:ascii="Arial" w:hAnsi="Arial" w:cs="Arial"/>
            </w:rPr>
            <w:t>»</w:t>
          </w:r>
        </w:p>
      </w:tc>
      <w:tc>
        <w:tcPr>
          <w:tcW w:w="2268" w:type="dxa"/>
          <w:vAlign w:val="center"/>
        </w:tcPr>
        <w:p w:rsidR="00440A4B" w:rsidRPr="00A62BF8" w:rsidRDefault="00440A4B" w:rsidP="00440A4B">
          <w:pPr>
            <w:pStyle w:val="a4"/>
            <w:jc w:val="center"/>
            <w:rPr>
              <w:rFonts w:ascii="Arial" w:hAnsi="Arial" w:cs="Arial"/>
            </w:rPr>
          </w:pPr>
          <w:r>
            <w:rPr>
              <w:rFonts w:ascii="Arial" w:hAnsi="Arial" w:cs="Arial"/>
            </w:rPr>
            <w:t>МТ-065-2</w:t>
          </w:r>
        </w:p>
      </w:tc>
    </w:tr>
    <w:tr w:rsidR="00440A4B" w:rsidRPr="00A62BF8" w:rsidTr="00440A4B">
      <w:trPr>
        <w:cantSplit/>
        <w:trHeight w:val="329"/>
      </w:trPr>
      <w:tc>
        <w:tcPr>
          <w:tcW w:w="2436" w:type="dxa"/>
          <w:vMerge/>
          <w:vAlign w:val="center"/>
        </w:tcPr>
        <w:p w:rsidR="00440A4B" w:rsidRDefault="00440A4B" w:rsidP="00440A4B">
          <w:pPr>
            <w:pStyle w:val="a4"/>
            <w:jc w:val="center"/>
            <w:rPr>
              <w:sz w:val="20"/>
            </w:rPr>
          </w:pPr>
        </w:p>
      </w:tc>
      <w:tc>
        <w:tcPr>
          <w:tcW w:w="4936" w:type="dxa"/>
          <w:vMerge/>
        </w:tcPr>
        <w:p w:rsidR="00440A4B" w:rsidRDefault="00440A4B" w:rsidP="00440A4B">
          <w:pPr>
            <w:spacing w:line="360" w:lineRule="auto"/>
            <w:jc w:val="center"/>
            <w:rPr>
              <w:b/>
              <w:bCs/>
              <w:sz w:val="20"/>
            </w:rPr>
          </w:pPr>
        </w:p>
      </w:tc>
      <w:tc>
        <w:tcPr>
          <w:tcW w:w="2268" w:type="dxa"/>
          <w:vAlign w:val="center"/>
        </w:tcPr>
        <w:p w:rsidR="00440A4B" w:rsidRPr="00A62BF8" w:rsidRDefault="00440A4B" w:rsidP="00440A4B">
          <w:pPr>
            <w:pStyle w:val="a4"/>
            <w:jc w:val="center"/>
            <w:rPr>
              <w:rFonts w:ascii="Arial" w:hAnsi="Arial" w:cs="Arial"/>
            </w:rPr>
          </w:pPr>
          <w:r w:rsidRPr="004F7F37">
            <w:rPr>
              <w:rFonts w:ascii="Arial" w:hAnsi="Arial" w:cs="Arial"/>
            </w:rPr>
            <w:t>Для внутреннего использования</w:t>
          </w:r>
        </w:p>
      </w:tc>
    </w:tr>
  </w:tbl>
  <w:p w:rsidR="00440A4B" w:rsidRDefault="00440A4B" w:rsidP="00B90E4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37301"/>
    <w:multiLevelType w:val="multilevel"/>
    <w:tmpl w:val="0419001F"/>
    <w:lvl w:ilvl="0">
      <w:start w:val="1"/>
      <w:numFmt w:val="decimal"/>
      <w:lvlText w:val="%1."/>
      <w:lvlJc w:val="left"/>
      <w:pPr>
        <w:ind w:left="360"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C356D0"/>
    <w:multiLevelType w:val="hybridMultilevel"/>
    <w:tmpl w:val="530A0E0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CF41527"/>
    <w:multiLevelType w:val="hybridMultilevel"/>
    <w:tmpl w:val="9F90097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FB0957"/>
    <w:multiLevelType w:val="multilevel"/>
    <w:tmpl w:val="C73A91E6"/>
    <w:lvl w:ilvl="0">
      <w:start w:val="6"/>
      <w:numFmt w:val="decimal"/>
      <w:lvlText w:val="%1."/>
      <w:lvlJc w:val="left"/>
      <w:pPr>
        <w:ind w:left="585" w:hanging="58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 w15:restartNumberingAfterBreak="0">
    <w:nsid w:val="11CB3D1C"/>
    <w:multiLevelType w:val="hybridMultilevel"/>
    <w:tmpl w:val="81785C4C"/>
    <w:lvl w:ilvl="0" w:tplc="0419000F">
      <w:start w:val="6"/>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065188"/>
    <w:multiLevelType w:val="hybridMultilevel"/>
    <w:tmpl w:val="0C6CD69A"/>
    <w:lvl w:ilvl="0" w:tplc="135638A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4F713F"/>
    <w:multiLevelType w:val="multilevel"/>
    <w:tmpl w:val="B89263AA"/>
    <w:lvl w:ilvl="0">
      <w:start w:val="7"/>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1AEF08C8"/>
    <w:multiLevelType w:val="hybridMultilevel"/>
    <w:tmpl w:val="3594E884"/>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15:restartNumberingAfterBreak="0">
    <w:nsid w:val="254A4B48"/>
    <w:multiLevelType w:val="hybridMultilevel"/>
    <w:tmpl w:val="ACD4B4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7000D2"/>
    <w:multiLevelType w:val="multilevel"/>
    <w:tmpl w:val="DF4C13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CB26848"/>
    <w:multiLevelType w:val="multilevel"/>
    <w:tmpl w:val="C73A91E6"/>
    <w:lvl w:ilvl="0">
      <w:start w:val="6"/>
      <w:numFmt w:val="decimal"/>
      <w:lvlText w:val="%1."/>
      <w:lvlJc w:val="left"/>
      <w:pPr>
        <w:ind w:left="585" w:hanging="58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1" w15:restartNumberingAfterBreak="0">
    <w:nsid w:val="329F3A09"/>
    <w:multiLevelType w:val="hybridMultilevel"/>
    <w:tmpl w:val="70D402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2A0631B"/>
    <w:multiLevelType w:val="hybridMultilevel"/>
    <w:tmpl w:val="8C367DE2"/>
    <w:lvl w:ilvl="0" w:tplc="04190005">
      <w:start w:val="1"/>
      <w:numFmt w:val="bullet"/>
      <w:lvlText w:val=""/>
      <w:lvlJc w:val="left"/>
      <w:pPr>
        <w:ind w:left="1040" w:hanging="360"/>
      </w:pPr>
      <w:rPr>
        <w:rFonts w:ascii="Wingdings" w:hAnsi="Wingdings" w:hint="default"/>
      </w:rPr>
    </w:lvl>
    <w:lvl w:ilvl="1" w:tplc="04190003">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3" w15:restartNumberingAfterBreak="0">
    <w:nsid w:val="3B992AE7"/>
    <w:multiLevelType w:val="multilevel"/>
    <w:tmpl w:val="728E4C0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ED0743E"/>
    <w:multiLevelType w:val="multilevel"/>
    <w:tmpl w:val="C9EE580C"/>
    <w:lvl w:ilvl="0">
      <w:start w:val="1"/>
      <w:numFmt w:val="decimal"/>
      <w:lvlText w:val="%1."/>
      <w:lvlJc w:val="left"/>
      <w:pPr>
        <w:tabs>
          <w:tab w:val="num" w:pos="1441"/>
        </w:tabs>
        <w:ind w:left="1441" w:hanging="360"/>
      </w:pPr>
      <w:rPr>
        <w:rFonts w:hint="default"/>
      </w:rPr>
    </w:lvl>
    <w:lvl w:ilvl="1">
      <w:start w:val="1"/>
      <w:numFmt w:val="decimal"/>
      <w:isLgl/>
      <w:lvlText w:val="%1.%2."/>
      <w:lvlJc w:val="left"/>
      <w:pPr>
        <w:ind w:left="1801" w:hanging="720"/>
      </w:pPr>
      <w:rPr>
        <w:rFonts w:hint="default"/>
      </w:rPr>
    </w:lvl>
    <w:lvl w:ilvl="2">
      <w:start w:val="1"/>
      <w:numFmt w:val="decimal"/>
      <w:isLgl/>
      <w:lvlText w:val="%1.%2.%3."/>
      <w:lvlJc w:val="left"/>
      <w:pPr>
        <w:ind w:left="1801" w:hanging="720"/>
      </w:pPr>
      <w:rPr>
        <w:rFonts w:hint="default"/>
      </w:rPr>
    </w:lvl>
    <w:lvl w:ilvl="3">
      <w:start w:val="1"/>
      <w:numFmt w:val="decimal"/>
      <w:isLgl/>
      <w:lvlText w:val="%1.%2.%3.%4."/>
      <w:lvlJc w:val="left"/>
      <w:pPr>
        <w:ind w:left="2161" w:hanging="1080"/>
      </w:pPr>
      <w:rPr>
        <w:rFonts w:hint="default"/>
      </w:rPr>
    </w:lvl>
    <w:lvl w:ilvl="4">
      <w:start w:val="1"/>
      <w:numFmt w:val="decimal"/>
      <w:isLgl/>
      <w:lvlText w:val="%1.%2.%3.%4.%5."/>
      <w:lvlJc w:val="left"/>
      <w:pPr>
        <w:ind w:left="2161" w:hanging="1080"/>
      </w:pPr>
      <w:rPr>
        <w:rFonts w:hint="default"/>
      </w:rPr>
    </w:lvl>
    <w:lvl w:ilvl="5">
      <w:start w:val="1"/>
      <w:numFmt w:val="decimal"/>
      <w:isLgl/>
      <w:lvlText w:val="%1.%2.%3.%4.%5.%6."/>
      <w:lvlJc w:val="left"/>
      <w:pPr>
        <w:ind w:left="2521" w:hanging="1440"/>
      </w:pPr>
      <w:rPr>
        <w:rFonts w:hint="default"/>
      </w:rPr>
    </w:lvl>
    <w:lvl w:ilvl="6">
      <w:start w:val="1"/>
      <w:numFmt w:val="decimal"/>
      <w:isLgl/>
      <w:lvlText w:val="%1.%2.%3.%4.%5.%6.%7."/>
      <w:lvlJc w:val="left"/>
      <w:pPr>
        <w:ind w:left="2521" w:hanging="144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3241" w:hanging="2160"/>
      </w:pPr>
      <w:rPr>
        <w:rFonts w:hint="default"/>
      </w:rPr>
    </w:lvl>
  </w:abstractNum>
  <w:abstractNum w:abstractNumId="15" w15:restartNumberingAfterBreak="0">
    <w:nsid w:val="444E31B6"/>
    <w:multiLevelType w:val="hybridMultilevel"/>
    <w:tmpl w:val="C63ECD30"/>
    <w:lvl w:ilvl="0" w:tplc="06567864">
      <w:start w:val="1"/>
      <w:numFmt w:val="bullet"/>
      <w:lvlText w:val=""/>
      <w:lvlJc w:val="left"/>
      <w:pPr>
        <w:ind w:left="17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6567864">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D9E72A2"/>
    <w:multiLevelType w:val="multilevel"/>
    <w:tmpl w:val="24EE2ED8"/>
    <w:lvl w:ilvl="0">
      <w:start w:val="1"/>
      <w:numFmt w:val="decimal"/>
      <w:lvlText w:val="%1."/>
      <w:lvlJc w:val="left"/>
      <w:pPr>
        <w:ind w:left="360" w:hanging="360"/>
      </w:pPr>
    </w:lvl>
    <w:lvl w:ilvl="1">
      <w:start w:val="1"/>
      <w:numFmt w:val="decimal"/>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8B0321"/>
    <w:multiLevelType w:val="hybridMultilevel"/>
    <w:tmpl w:val="608C73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27E6699"/>
    <w:multiLevelType w:val="hybridMultilevel"/>
    <w:tmpl w:val="6FCED1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932090C"/>
    <w:multiLevelType w:val="multilevel"/>
    <w:tmpl w:val="1D8830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584"/>
        </w:tabs>
        <w:ind w:left="158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8E151F8"/>
    <w:multiLevelType w:val="hybridMultilevel"/>
    <w:tmpl w:val="DDD8317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BCA6303"/>
    <w:multiLevelType w:val="hybridMultilevel"/>
    <w:tmpl w:val="51468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CD02EC1"/>
    <w:multiLevelType w:val="hybridMultilevel"/>
    <w:tmpl w:val="FA38E9F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C86E34"/>
    <w:multiLevelType w:val="hybridMultilevel"/>
    <w:tmpl w:val="389E5E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F2F1FB5"/>
    <w:multiLevelType w:val="hybridMultilevel"/>
    <w:tmpl w:val="7B0621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2C0AB3"/>
    <w:multiLevelType w:val="multilevel"/>
    <w:tmpl w:val="728E4C0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1BA2D05"/>
    <w:multiLevelType w:val="hybridMultilevel"/>
    <w:tmpl w:val="8872FC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2AC7E8B"/>
    <w:multiLevelType w:val="hybridMultilevel"/>
    <w:tmpl w:val="CF84B2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BC59A6"/>
    <w:multiLevelType w:val="hybridMultilevel"/>
    <w:tmpl w:val="4726FCE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EA849B2"/>
    <w:multiLevelType w:val="multilevel"/>
    <w:tmpl w:val="DF4C13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12"/>
  </w:num>
  <w:num w:numId="3">
    <w:abstractNumId w:val="21"/>
  </w:num>
  <w:num w:numId="4">
    <w:abstractNumId w:val="19"/>
  </w:num>
  <w:num w:numId="5">
    <w:abstractNumId w:val="5"/>
  </w:num>
  <w:num w:numId="6">
    <w:abstractNumId w:val="24"/>
  </w:num>
  <w:num w:numId="7">
    <w:abstractNumId w:val="27"/>
  </w:num>
  <w:num w:numId="8">
    <w:abstractNumId w:val="22"/>
  </w:num>
  <w:num w:numId="9">
    <w:abstractNumId w:val="28"/>
  </w:num>
  <w:num w:numId="10">
    <w:abstractNumId w:val="2"/>
  </w:num>
  <w:num w:numId="11">
    <w:abstractNumId w:val="4"/>
  </w:num>
  <w:num w:numId="12">
    <w:abstractNumId w:val="17"/>
  </w:num>
  <w:num w:numId="13">
    <w:abstractNumId w:val="8"/>
  </w:num>
  <w:num w:numId="14">
    <w:abstractNumId w:val="10"/>
  </w:num>
  <w:num w:numId="15">
    <w:abstractNumId w:val="3"/>
  </w:num>
  <w:num w:numId="16">
    <w:abstractNumId w:val="25"/>
  </w:num>
  <w:num w:numId="17">
    <w:abstractNumId w:val="20"/>
  </w:num>
  <w:num w:numId="18">
    <w:abstractNumId w:val="23"/>
  </w:num>
  <w:num w:numId="19">
    <w:abstractNumId w:val="11"/>
  </w:num>
  <w:num w:numId="20">
    <w:abstractNumId w:val="26"/>
  </w:num>
  <w:num w:numId="21">
    <w:abstractNumId w:val="7"/>
  </w:num>
  <w:num w:numId="22">
    <w:abstractNumId w:val="18"/>
  </w:num>
  <w:num w:numId="23">
    <w:abstractNumId w:val="15"/>
  </w:num>
  <w:num w:numId="24">
    <w:abstractNumId w:val="13"/>
  </w:num>
  <w:num w:numId="25">
    <w:abstractNumId w:val="6"/>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0"/>
  </w:num>
  <w:num w:numId="30">
    <w:abstractNumId w:val="9"/>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38F"/>
    <w:rsid w:val="00041CF9"/>
    <w:rsid w:val="00056E54"/>
    <w:rsid w:val="00063C62"/>
    <w:rsid w:val="00072562"/>
    <w:rsid w:val="003817BF"/>
    <w:rsid w:val="0043196E"/>
    <w:rsid w:val="00440A4B"/>
    <w:rsid w:val="005F238F"/>
    <w:rsid w:val="00753ACB"/>
    <w:rsid w:val="00852AE4"/>
    <w:rsid w:val="0086254C"/>
    <w:rsid w:val="00906887"/>
    <w:rsid w:val="009104D5"/>
    <w:rsid w:val="00A444A4"/>
    <w:rsid w:val="00B90E43"/>
    <w:rsid w:val="00CA4E60"/>
    <w:rsid w:val="00DD52F4"/>
    <w:rsid w:val="00DE0192"/>
    <w:rsid w:val="00DF0E47"/>
    <w:rsid w:val="00F141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E88DB9-3F5B-4D50-B385-E513D22DB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43196E"/>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196E"/>
    <w:rPr>
      <w:rFonts w:ascii="Arial" w:eastAsia="Times New Roman" w:hAnsi="Arial" w:cs="Arial"/>
      <w:b/>
      <w:bCs/>
      <w:kern w:val="32"/>
      <w:sz w:val="32"/>
      <w:szCs w:val="32"/>
      <w:lang w:eastAsia="ru-RU"/>
    </w:rPr>
  </w:style>
  <w:style w:type="table" w:styleId="a3">
    <w:name w:val="Table Grid"/>
    <w:basedOn w:val="a1"/>
    <w:uiPriority w:val="59"/>
    <w:rsid w:val="004319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4319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43196E"/>
    <w:rPr>
      <w:rFonts w:ascii="Times New Roman" w:eastAsia="Times New Roman" w:hAnsi="Times New Roman" w:cs="Times New Roman"/>
      <w:sz w:val="24"/>
      <w:szCs w:val="24"/>
      <w:lang w:eastAsia="ru-RU"/>
    </w:rPr>
  </w:style>
  <w:style w:type="paragraph" w:styleId="a6">
    <w:name w:val="Title"/>
    <w:basedOn w:val="a"/>
    <w:link w:val="a7"/>
    <w:qFormat/>
    <w:rsid w:val="0043196E"/>
    <w:pPr>
      <w:spacing w:after="0" w:line="240" w:lineRule="auto"/>
      <w:jc w:val="center"/>
    </w:pPr>
    <w:rPr>
      <w:rFonts w:ascii="Times New Roman" w:eastAsia="Times New Roman" w:hAnsi="Times New Roman" w:cs="Times New Roman"/>
      <w:b/>
      <w:bCs/>
      <w:sz w:val="28"/>
      <w:szCs w:val="24"/>
      <w:lang w:eastAsia="ru-RU"/>
    </w:rPr>
  </w:style>
  <w:style w:type="character" w:customStyle="1" w:styleId="a7">
    <w:name w:val="Название Знак"/>
    <w:basedOn w:val="a0"/>
    <w:link w:val="a6"/>
    <w:rsid w:val="0043196E"/>
    <w:rPr>
      <w:rFonts w:ascii="Times New Roman" w:eastAsia="Times New Roman" w:hAnsi="Times New Roman" w:cs="Times New Roman"/>
      <w:b/>
      <w:bCs/>
      <w:sz w:val="28"/>
      <w:szCs w:val="24"/>
      <w:lang w:eastAsia="ru-RU"/>
    </w:rPr>
  </w:style>
  <w:style w:type="character" w:customStyle="1" w:styleId="mChar">
    <w:name w:val="m_ПростойТекст Char"/>
    <w:link w:val="m"/>
    <w:locked/>
    <w:rsid w:val="0043196E"/>
    <w:rPr>
      <w:rFonts w:ascii="Times New Roman" w:eastAsia="Times New Roman" w:hAnsi="Times New Roman" w:cs="Times New Roman"/>
      <w:sz w:val="24"/>
      <w:szCs w:val="24"/>
      <w:lang w:eastAsia="ru-RU"/>
    </w:rPr>
  </w:style>
  <w:style w:type="paragraph" w:customStyle="1" w:styleId="m">
    <w:name w:val="m_ПростойТекст"/>
    <w:basedOn w:val="a"/>
    <w:link w:val="mChar"/>
    <w:rsid w:val="0043196E"/>
    <w:pPr>
      <w:spacing w:after="0" w:line="240" w:lineRule="auto"/>
      <w:jc w:val="both"/>
    </w:pPr>
    <w:rPr>
      <w:rFonts w:ascii="Times New Roman" w:eastAsia="Times New Roman" w:hAnsi="Times New Roman" w:cs="Times New Roman"/>
      <w:sz w:val="24"/>
      <w:szCs w:val="24"/>
      <w:lang w:eastAsia="ru-RU"/>
    </w:rPr>
  </w:style>
  <w:style w:type="character" w:styleId="a8">
    <w:name w:val="page number"/>
    <w:basedOn w:val="a0"/>
    <w:rsid w:val="0043196E"/>
  </w:style>
  <w:style w:type="paragraph" w:customStyle="1" w:styleId="TableHeader">
    <w:name w:val="TableHeader"/>
    <w:rsid w:val="0043196E"/>
    <w:pPr>
      <w:spacing w:after="0" w:line="288" w:lineRule="atLeast"/>
      <w:jc w:val="center"/>
    </w:pPr>
    <w:rPr>
      <w:rFonts w:ascii="Arial" w:eastAsia="Arial" w:hAnsi="Arial" w:cs="Arial"/>
      <w:b/>
      <w:color w:val="000000"/>
      <w:sz w:val="24"/>
      <w:szCs w:val="20"/>
      <w:shd w:val="clear" w:color="auto" w:fill="D9D9D9"/>
      <w:lang w:eastAsia="ru-RU"/>
    </w:rPr>
  </w:style>
  <w:style w:type="paragraph" w:customStyle="1" w:styleId="TableSubheader">
    <w:name w:val="TableSubheader"/>
    <w:rsid w:val="0043196E"/>
    <w:pPr>
      <w:spacing w:after="0" w:line="288" w:lineRule="atLeast"/>
      <w:jc w:val="center"/>
    </w:pPr>
    <w:rPr>
      <w:rFonts w:ascii="Arial" w:eastAsia="Arial" w:hAnsi="Arial" w:cs="Arial"/>
      <w:i/>
      <w:color w:val="000000"/>
      <w:sz w:val="24"/>
      <w:szCs w:val="20"/>
      <w:shd w:val="clear" w:color="auto" w:fill="D9D9D9"/>
      <w:lang w:eastAsia="ru-RU"/>
    </w:rPr>
  </w:style>
  <w:style w:type="paragraph" w:customStyle="1" w:styleId="TableText">
    <w:name w:val="TableText"/>
    <w:rsid w:val="0043196E"/>
    <w:pPr>
      <w:spacing w:after="0" w:line="288" w:lineRule="atLeast"/>
    </w:pPr>
    <w:rPr>
      <w:rFonts w:ascii="Arial" w:eastAsia="Arial" w:hAnsi="Arial" w:cs="Arial"/>
      <w:color w:val="000000"/>
      <w:sz w:val="24"/>
      <w:szCs w:val="20"/>
      <w:lang w:eastAsia="ru-RU"/>
    </w:rPr>
  </w:style>
  <w:style w:type="character" w:styleId="a9">
    <w:name w:val="Hyperlink"/>
    <w:uiPriority w:val="99"/>
    <w:rsid w:val="0043196E"/>
    <w:rPr>
      <w:color w:val="0000FF"/>
      <w:u w:val="single"/>
    </w:rPr>
  </w:style>
  <w:style w:type="paragraph" w:styleId="11">
    <w:name w:val="toc 1"/>
    <w:basedOn w:val="a"/>
    <w:next w:val="a"/>
    <w:autoRedefine/>
    <w:uiPriority w:val="39"/>
    <w:rsid w:val="0043196E"/>
    <w:pPr>
      <w:spacing w:before="120" w:after="0" w:line="240" w:lineRule="auto"/>
    </w:pPr>
    <w:rPr>
      <w:rFonts w:ascii="Arial" w:eastAsia="Times New Roman" w:hAnsi="Arial" w:cs="Times New Roman"/>
      <w:bCs/>
      <w:iCs/>
      <w:sz w:val="24"/>
      <w:szCs w:val="24"/>
      <w:lang w:eastAsia="ru-RU"/>
    </w:rPr>
  </w:style>
  <w:style w:type="paragraph" w:styleId="aa">
    <w:name w:val="List Paragraph"/>
    <w:basedOn w:val="a"/>
    <w:uiPriority w:val="34"/>
    <w:qFormat/>
    <w:rsid w:val="0043196E"/>
    <w:pPr>
      <w:spacing w:after="0" w:line="240" w:lineRule="auto"/>
      <w:ind w:left="720"/>
      <w:contextualSpacing/>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43196E"/>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43196E"/>
    <w:rPr>
      <w:rFonts w:ascii="Tahoma" w:eastAsia="Times New Roman" w:hAnsi="Tahoma" w:cs="Tahoma"/>
      <w:sz w:val="16"/>
      <w:szCs w:val="16"/>
      <w:lang w:eastAsia="ru-RU"/>
    </w:rPr>
  </w:style>
  <w:style w:type="paragraph" w:styleId="ad">
    <w:name w:val="annotation text"/>
    <w:basedOn w:val="a"/>
    <w:link w:val="ae"/>
    <w:semiHidden/>
    <w:rsid w:val="0043196E"/>
    <w:pPr>
      <w:spacing w:after="0" w:line="240" w:lineRule="auto"/>
    </w:pPr>
    <w:rPr>
      <w:rFonts w:ascii="Times New Roman" w:eastAsia="Times New Roman" w:hAnsi="Times New Roman" w:cs="Times New Roman"/>
      <w:sz w:val="20"/>
      <w:szCs w:val="20"/>
      <w:lang w:eastAsia="ru-RU"/>
    </w:rPr>
  </w:style>
  <w:style w:type="character" w:customStyle="1" w:styleId="ae">
    <w:name w:val="Текст примечания Знак"/>
    <w:basedOn w:val="a0"/>
    <w:link w:val="ad"/>
    <w:semiHidden/>
    <w:rsid w:val="0043196E"/>
    <w:rPr>
      <w:rFonts w:ascii="Times New Roman" w:eastAsia="Times New Roman" w:hAnsi="Times New Roman" w:cs="Times New Roman"/>
      <w:sz w:val="20"/>
      <w:szCs w:val="20"/>
      <w:lang w:eastAsia="ru-RU"/>
    </w:rPr>
  </w:style>
  <w:style w:type="paragraph" w:styleId="af">
    <w:name w:val="footer"/>
    <w:basedOn w:val="a"/>
    <w:link w:val="af0"/>
    <w:uiPriority w:val="99"/>
    <w:rsid w:val="004319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uiPriority w:val="99"/>
    <w:rsid w:val="0043196E"/>
    <w:rPr>
      <w:rFonts w:ascii="Times New Roman" w:eastAsia="Times New Roman" w:hAnsi="Times New Roman" w:cs="Times New Roman"/>
      <w:sz w:val="24"/>
      <w:szCs w:val="24"/>
      <w:lang w:eastAsia="ru-RU"/>
    </w:rPr>
  </w:style>
  <w:style w:type="character" w:styleId="af1">
    <w:name w:val="Emphasis"/>
    <w:qFormat/>
    <w:rsid w:val="0043196E"/>
    <w:rPr>
      <w:i/>
      <w:iCs/>
    </w:rPr>
  </w:style>
  <w:style w:type="paragraph" w:styleId="af2">
    <w:name w:val="footnote text"/>
    <w:basedOn w:val="a"/>
    <w:link w:val="af3"/>
    <w:uiPriority w:val="99"/>
    <w:semiHidden/>
    <w:unhideWhenUsed/>
    <w:rsid w:val="0043196E"/>
    <w:pPr>
      <w:spacing w:after="0" w:line="240" w:lineRule="auto"/>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uiPriority w:val="99"/>
    <w:semiHidden/>
    <w:rsid w:val="0043196E"/>
    <w:rPr>
      <w:rFonts w:ascii="Times New Roman" w:eastAsia="Times New Roman" w:hAnsi="Times New Roman" w:cs="Times New Roman"/>
      <w:sz w:val="20"/>
      <w:szCs w:val="20"/>
      <w:lang w:eastAsia="ru-RU"/>
    </w:rPr>
  </w:style>
  <w:style w:type="character" w:styleId="af4">
    <w:name w:val="footnote reference"/>
    <w:basedOn w:val="a0"/>
    <w:uiPriority w:val="99"/>
    <w:semiHidden/>
    <w:unhideWhenUsed/>
    <w:rsid w:val="0043196E"/>
    <w:rPr>
      <w:vertAlign w:val="superscript"/>
    </w:rPr>
  </w:style>
  <w:style w:type="character" w:styleId="af5">
    <w:name w:val="FollowedHyperlink"/>
    <w:basedOn w:val="a0"/>
    <w:uiPriority w:val="99"/>
    <w:semiHidden/>
    <w:unhideWhenUsed/>
    <w:rsid w:val="0043196E"/>
    <w:rPr>
      <w:color w:val="800080" w:themeColor="followedHyperlink"/>
      <w:u w:val="single"/>
    </w:rPr>
  </w:style>
  <w:style w:type="paragraph" w:customStyle="1" w:styleId="12">
    <w:name w:val="Стиль1"/>
    <w:basedOn w:val="1"/>
    <w:link w:val="13"/>
    <w:qFormat/>
    <w:rsid w:val="00906887"/>
    <w:pPr>
      <w:ind w:left="-567" w:hanging="426"/>
    </w:pPr>
    <w:rPr>
      <w:rFonts w:ascii="Times New Roman" w:hAnsi="Times New Roman" w:cs="Times New Roman"/>
      <w:sz w:val="24"/>
      <w:szCs w:val="24"/>
    </w:rPr>
  </w:style>
  <w:style w:type="paragraph" w:customStyle="1" w:styleId="2">
    <w:name w:val="Стиль2"/>
    <w:basedOn w:val="12"/>
    <w:link w:val="20"/>
    <w:qFormat/>
    <w:rsid w:val="00906887"/>
    <w:pPr>
      <w:ind w:hanging="709"/>
    </w:pPr>
  </w:style>
  <w:style w:type="character" w:customStyle="1" w:styleId="13">
    <w:name w:val="Стиль1 Знак"/>
    <w:basedOn w:val="10"/>
    <w:link w:val="12"/>
    <w:rsid w:val="00906887"/>
    <w:rPr>
      <w:rFonts w:ascii="Times New Roman" w:eastAsia="Times New Roman" w:hAnsi="Times New Roman" w:cs="Times New Roman"/>
      <w:b/>
      <w:bCs/>
      <w:kern w:val="32"/>
      <w:sz w:val="24"/>
      <w:szCs w:val="24"/>
      <w:lang w:eastAsia="ru-RU"/>
    </w:rPr>
  </w:style>
  <w:style w:type="paragraph" w:styleId="af6">
    <w:name w:val="TOC Heading"/>
    <w:basedOn w:val="1"/>
    <w:next w:val="a"/>
    <w:uiPriority w:val="39"/>
    <w:unhideWhenUsed/>
    <w:qFormat/>
    <w:rsid w:val="00906887"/>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20">
    <w:name w:val="Стиль2 Знак"/>
    <w:basedOn w:val="13"/>
    <w:link w:val="2"/>
    <w:rsid w:val="00906887"/>
    <w:rPr>
      <w:rFonts w:ascii="Times New Roman" w:eastAsia="Times New Roman" w:hAnsi="Times New Roman" w:cs="Times New Roman"/>
      <w:b/>
      <w:bCs/>
      <w:kern w:val="32"/>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0.e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9.emf"/><Relationship Id="rId28"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emf"/><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178DA-22B7-4148-8E52-8FE52D383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12515</Words>
  <Characters>71342</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Русакова Надежда Леонидовна</dc:creator>
  <cp:keywords/>
  <dc:description/>
  <cp:lastModifiedBy>Басалаева Лариса Владимировна</cp:lastModifiedBy>
  <cp:revision>16</cp:revision>
  <cp:lastPrinted>2018-07-17T09:50:00Z</cp:lastPrinted>
  <dcterms:created xsi:type="dcterms:W3CDTF">2018-07-17T04:26:00Z</dcterms:created>
  <dcterms:modified xsi:type="dcterms:W3CDTF">2018-08-03T02:12:00Z</dcterms:modified>
</cp:coreProperties>
</file>