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940B07" w:rsidRPr="0094353B" w:rsidRDefault="00BB7D5E" w:rsidP="001B1A78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Томск</w:t>
      </w:r>
    </w:p>
    <w:p w:rsidR="002E6A52" w:rsidRDefault="00940B0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 w:rsidR="00490587">
        <w:rPr>
          <w:b/>
          <w:sz w:val="24"/>
          <w:szCs w:val="24"/>
        </w:rPr>
        <w:t>1</w:t>
      </w:r>
      <w:r w:rsidR="00BB7D5E">
        <w:rPr>
          <w:b/>
          <w:sz w:val="24"/>
          <w:szCs w:val="24"/>
        </w:rPr>
        <w:t>6</w:t>
      </w:r>
      <w:r w:rsidRPr="0094353B">
        <w:rPr>
          <w:b/>
          <w:sz w:val="24"/>
          <w:szCs w:val="24"/>
        </w:rPr>
        <w:t xml:space="preserve"> г.</w:t>
      </w:r>
    </w:p>
    <w:p w:rsidR="00BB7D5E" w:rsidRDefault="00BB7D5E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Заказчик, организатор закупки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ПАО «Томскэнергосбыт»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документация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ЭГ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Экспертная группа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Заявка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ЗК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комиссия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ПДЗК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Постоянно действующая закупочная комиссия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</w:t>
      </w:r>
      <w:r w:rsidR="006557C5">
        <w:rPr>
          <w:rFonts w:ascii="Times New Roman" w:hAnsi="Times New Roman"/>
          <w:sz w:val="24"/>
          <w:szCs w:val="24"/>
          <w:lang w:val="ru-RU"/>
        </w:rPr>
        <w:t>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>секретарю З</w:t>
      </w:r>
      <w:r w:rsidR="006557C5">
        <w:rPr>
          <w:rFonts w:ascii="Times New Roman" w:hAnsi="Times New Roman"/>
          <w:sz w:val="24"/>
          <w:szCs w:val="24"/>
          <w:lang w:val="ru-RU"/>
        </w:rPr>
        <w:t>К/ПДЗК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докладывает результаты работы Экспертной группы на заседании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 или ее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эксперт обязан незамедлительно доложить о таких фактах председателю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</w:t>
      </w:r>
      <w:r w:rsidR="00502FE5" w:rsidRPr="00502FE5">
        <w:rPr>
          <w:rFonts w:ascii="Times New Roman" w:hAnsi="Times New Roman"/>
          <w:sz w:val="24"/>
          <w:szCs w:val="24"/>
          <w:lang w:val="ru-RU"/>
        </w:rPr>
        <w:t xml:space="preserve">ЗК/ПДЗК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B4FDD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lastRenderedPageBreak/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AD7BEE" w:rsidRPr="00AD7BEE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 w:rsidR="00A45027">
        <w:rPr>
          <w:sz w:val="24"/>
        </w:rPr>
        <w:t>процедуры (проверка наличия/отсутствия у участника стоп и риск факторов, указанных в  Закупочной документации</w:t>
      </w:r>
      <w:r w:rsidRPr="00AD7BEE">
        <w:rPr>
          <w:sz w:val="24"/>
        </w:rPr>
        <w:t xml:space="preserve">). 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Весовые коэффициенты присваиваются критериям на этапе согласования закупки и формирования критериев в составе Руководства и утверждаются </w:t>
      </w:r>
      <w:r w:rsidR="009C604A">
        <w:rPr>
          <w:rFonts w:ascii="Times New Roman" w:hAnsi="Times New Roman"/>
          <w:b w:val="0"/>
          <w:lang w:val="ru-RU"/>
        </w:rPr>
        <w:t>ЗК/ПДЗК</w:t>
      </w:r>
      <w:r w:rsidRPr="00DB4FDD">
        <w:rPr>
          <w:rFonts w:ascii="Times New Roman" w:hAnsi="Times New Roman"/>
          <w:b w:val="0"/>
        </w:rPr>
        <w:t>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</w:t>
      </w:r>
      <w:r w:rsidRPr="00DB4FDD">
        <w:rPr>
          <w:sz w:val="24"/>
        </w:rPr>
        <w:lastRenderedPageBreak/>
        <w:t xml:space="preserve">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9C604A" w:rsidRDefault="009C604A" w:rsidP="006C0EA7"/>
    <w:p w:rsidR="009C604A" w:rsidRDefault="009C604A" w:rsidP="006C0EA7"/>
    <w:p w:rsidR="009C604A" w:rsidRDefault="009C604A" w:rsidP="006C0EA7"/>
    <w:p w:rsidR="009C604A" w:rsidRDefault="009C604A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p w:rsidR="00796967" w:rsidRPr="0094353B" w:rsidRDefault="00796967" w:rsidP="00796967">
      <w:pPr>
        <w:pStyle w:val="aff1"/>
        <w:ind w:left="0" w:firstLine="0"/>
      </w:pP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DE7599" w:rsidRPr="00DE7599" w:rsidTr="002001D6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tabs>
                <w:tab w:val="left" w:pos="12478"/>
              </w:tabs>
              <w:autoSpaceDE w:val="0"/>
              <w:autoSpaceDN w:val="0"/>
              <w:adjustRightInd w:val="0"/>
              <w:spacing w:line="240" w:lineRule="auto"/>
              <w:ind w:right="249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Заявок на участие в закупочной процедуре на право заключения договора </w:t>
            </w:r>
            <w:proofErr w:type="gramStart"/>
            <w:r w:rsidRPr="00DE75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DE7599">
              <w:rPr>
                <w:b/>
                <w:bCs/>
                <w:snapToGrid/>
                <w:sz w:val="24"/>
                <w:szCs w:val="24"/>
              </w:rPr>
              <w:t xml:space="preserve"> _________________________________________________________________________________________________________________________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left="333"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___________________________________________________________________________________________ </w:t>
            </w:r>
            <w:r w:rsidRPr="00DE7599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DE7599" w:rsidRPr="00DE7599" w:rsidRDefault="00DE7599" w:rsidP="00DE7599">
            <w:pPr>
              <w:widowControl w:val="0"/>
              <w:tabs>
                <w:tab w:val="left" w:pos="9556"/>
              </w:tabs>
              <w:autoSpaceDE w:val="0"/>
              <w:autoSpaceDN w:val="0"/>
              <w:adjustRightInd w:val="0"/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599" w:rsidRPr="00DE7599" w:rsidRDefault="00DE7599" w:rsidP="00DE7599">
            <w:pPr>
              <w:widowControl w:val="0"/>
              <w:tabs>
                <w:tab w:val="left" w:pos="12687"/>
              </w:tabs>
              <w:autoSpaceDE w:val="0"/>
              <w:autoSpaceDN w:val="0"/>
              <w:adjustRightInd w:val="0"/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Ф.И.О. Эксперта, оценивающего Предложения по критерию:_________________________________________________________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 w:rsidRPr="00DE7599">
              <w:rPr>
                <w:b/>
                <w:bCs/>
                <w:snapToGrid/>
                <w:sz w:val="24"/>
                <w:szCs w:val="24"/>
              </w:rPr>
              <w:br/>
            </w:r>
            <w:r w:rsidRPr="00DE7599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Вид экспертной 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 w:rsidRPr="00DE7599"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 w:rsidRPr="00DE7599"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DE7599" w:rsidRPr="00DE7599" w:rsidTr="002001D6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 w:rsidRPr="00DE7599"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 xml:space="preserve">Надежность Участника, в </w:t>
            </w:r>
            <w:proofErr w:type="spellStart"/>
            <w:r w:rsidRPr="00DE7599">
              <w:rPr>
                <w:b/>
                <w:snapToGrid/>
                <w:sz w:val="24"/>
                <w:szCs w:val="24"/>
              </w:rPr>
              <w:t>т.ч</w:t>
            </w:r>
            <w:proofErr w:type="spellEnd"/>
            <w:r w:rsidRPr="00DE7599">
              <w:rPr>
                <w:b/>
                <w:snapToGrid/>
                <w:sz w:val="24"/>
                <w:szCs w:val="24"/>
              </w:rPr>
              <w:t xml:space="preserve">.: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1.1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Ресурсные возможности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Деловая репутация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Экспертиза экономической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Квалификация Участника: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Опыт выполнения   аналогичных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 xml:space="preserve">Технические и качественные характеристики, в </w:t>
            </w:r>
            <w:proofErr w:type="spellStart"/>
            <w:r w:rsidRPr="00DE7599">
              <w:rPr>
                <w:b/>
                <w:snapToGrid/>
                <w:sz w:val="24"/>
                <w:szCs w:val="24"/>
              </w:rPr>
              <w:t>т.ч</w:t>
            </w:r>
            <w:proofErr w:type="spellEnd"/>
            <w:r w:rsidRPr="00DE7599">
              <w:rPr>
                <w:b/>
                <w:snapToGrid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4.1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E7599">
              <w:rPr>
                <w:snapToGrid/>
                <w:sz w:val="22"/>
                <w:szCs w:val="22"/>
              </w:rPr>
              <w:t>Соответствие предложения участника требованиям ТЗ по объему и качеству предлагаемых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4.2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E7599">
              <w:rPr>
                <w:snapToGrid/>
                <w:sz w:val="22"/>
                <w:szCs w:val="22"/>
              </w:rPr>
              <w:t>Сроки выполнения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4.3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E7599">
              <w:rPr>
                <w:snapToGrid/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lastRenderedPageBreak/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snapToGrid/>
                <w:sz w:val="24"/>
                <w:szCs w:val="24"/>
              </w:rPr>
              <w:t>Стоимость работ: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5.1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DE7599">
              <w:rPr>
                <w:snapToGrid/>
                <w:sz w:val="24"/>
                <w:szCs w:val="24"/>
              </w:rPr>
              <w:t>Коммерческая</w:t>
            </w:r>
            <w:proofErr w:type="gramEnd"/>
            <w:r w:rsidRPr="00DE7599">
              <w:rPr>
                <w:snapToGrid/>
                <w:sz w:val="24"/>
                <w:szCs w:val="24"/>
              </w:rPr>
              <w:t xml:space="preserve"> (о</w:t>
            </w:r>
            <w:bookmarkStart w:id="8" w:name="_GoBack"/>
            <w:bookmarkEnd w:id="8"/>
            <w:r w:rsidRPr="00DE7599">
              <w:rPr>
                <w:snapToGrid/>
                <w:sz w:val="24"/>
                <w:szCs w:val="24"/>
              </w:rPr>
              <w:t>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5.2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Структура цены (оценка корректности смет, калькуляций)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snapToGrid/>
                <w:sz w:val="24"/>
                <w:szCs w:val="24"/>
              </w:rPr>
              <w:t>Сметная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Участник 1: _____________________________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Участник 2: _____________________________ 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E7599" w:rsidRPr="00DE7599" w:rsidTr="002001D6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 xml:space="preserve">Участник </w:t>
            </w:r>
            <w:r w:rsidRPr="00DE7599"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DE7599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E7599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DE7599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599" w:rsidRPr="00DE7599" w:rsidRDefault="00DE7599" w:rsidP="00DE75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EB2" w:rsidRDefault="00931EB2">
      <w:r>
        <w:separator/>
      </w:r>
    </w:p>
  </w:endnote>
  <w:endnote w:type="continuationSeparator" w:id="0">
    <w:p w:rsidR="00931EB2" w:rsidRDefault="0093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DE7599">
      <w:rPr>
        <w:noProof/>
      </w:rPr>
      <w:t>13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EB2" w:rsidRDefault="00931EB2">
      <w:r>
        <w:separator/>
      </w:r>
    </w:p>
  </w:footnote>
  <w:footnote w:type="continuationSeparator" w:id="0">
    <w:p w:rsidR="00931EB2" w:rsidRDefault="00931EB2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4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4"/>
  </w:num>
  <w:num w:numId="9">
    <w:abstractNumId w:val="21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3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5"/>
  </w:num>
  <w:num w:numId="24">
    <w:abstractNumId w:val="19"/>
  </w:num>
  <w:num w:numId="25">
    <w:abstractNumId w:val="22"/>
  </w:num>
  <w:num w:numId="26">
    <w:abstractNumId w:val="22"/>
  </w:num>
  <w:num w:numId="27">
    <w:abstractNumId w:val="22"/>
  </w:num>
  <w:num w:numId="28">
    <w:abstractNumId w:val="0"/>
  </w:num>
  <w:num w:numId="29">
    <w:abstractNumId w:val="0"/>
  </w:num>
  <w:num w:numId="30">
    <w:abstractNumId w:val="2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2E7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2FE5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557C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1EB2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2332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604A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B7D5E"/>
    <w:rsid w:val="00BC0F3C"/>
    <w:rsid w:val="00BC6A3B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E7599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5F70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16900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2F5E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D2241-08E0-43CD-9847-21A492C0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14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16</cp:revision>
  <cp:lastPrinted>2011-09-26T05:32:00Z</cp:lastPrinted>
  <dcterms:created xsi:type="dcterms:W3CDTF">2015-02-03T12:58:00Z</dcterms:created>
  <dcterms:modified xsi:type="dcterms:W3CDTF">2016-06-10T10:20:00Z</dcterms:modified>
</cp:coreProperties>
</file>