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1411085072" name="Picture">
</wp:docPr>
                  <a:graphic>
                    <a:graphicData uri="http://schemas.openxmlformats.org/drawingml/2006/picture">
                      <pic:pic>
                        <pic:nvPicPr>
                          <pic:cNvPr id="1411085072"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424.22.00269 Компьютерная техника</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360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220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 на первом этапе проводиться экспертиза только по техническому направлению; </w:t>
              <w:br/>
              <w:t xml:space="preserve"> - на втором этапе проводятся экспертизы по направлениям: экономическая безопасность, квалификационная, финансово-экономическая, юридическая; </w:t>
              <w:br/>
              <w:t xml:space="preserve">- на третьем этапе проводится коммерческая экспертиза.</w:t>
            </w:r>
          </w:p>
        </w:tc>
        <w:tc>
          <w:tcPr>
     </w:tcPr>
          <w:p>
            <w:pPr>
              <w:pStyle w:val="EMPTY_CELL_STYLE"/>
            </w:pP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c>
          <w:tcPr>
     </w:tcPr>
          <w:p>
            <w:pPr>
              <w:pStyle w:val="EMPTY_CELL_STYLE"/>
            </w:pPr>
          </w:p>
        </w:tc>
      </w:tr>
      <w:tr>
        <w:trPr>
          <w:trHeight w:hRule="exact" w:val="280"/>
        </w:trPr>
        <w:tc>
          <w:tcPr>
     </w:tcPr>
          <w:p>
            <w:pPr>
              <w:pStyle w:val="EMPTY_CELL_STYLE"/>
            </w:pPr>
          </w:p>
        </w:tc>
        <w:tc>
          <w:tcPr>
     </w:tcPr>
          <w:p>
            <w:pPr>
              <w:pStyle w:val="EMPTY_CELL_STYLE"/>
            </w:pP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exact" w:val="162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62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  Присвоение баллов заявкам по критерию 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br/>
                    <w:t xml:space="preserve">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t xml:space="preserve">Исб = К1* В1</w:t>
                    <w:br/>
                    <w:br/>
                    <w:t xml:space="preserve">где:</w:t>
                    <w:br/>
                    <w:t xml:space="preserve">Исб– итоговая сумма баллов Конкурсной заявки;</w:t>
                    <w:br/>
                    <w:t xml:space="preserve">К1 –  сумма баллов по критерию «Цена договора, предложенная участником»;</w:t>
                    <w:br/>
                    <w:t xml:space="preserve">В1 – значимость критерия «Цена договора, предложенная участником»;</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200"/>
        </w:trPr>
        <w:tc>
          <w:tcPr>
     </w:tcPr>
          <w:p>
            <w:pPr>
              <w:pStyle w:val="EMPTY_CELL_STYLE"/>
            </w:pPr>
          </w:p>
        </w:tc>
        <w:tc>
          <w:tcPr>
     </w:tcPr>
          <w:p>
            <w:pPr>
              <w:pStyle w:val="EMPTY_CELL_STYLE"/>
            </w:pPr>
          </w:p>
        </w:tc>
        <w:tc>
          <w:tcPr>
     </w:tcPr>
          <w:p>
            <w:pPr>
              <w:pStyle w:val="EMPTY_CELL_STYLE"/>
            </w:pPr>
          </w:p>
        </w:tc>
      </w:tr>
      <w:tr>
        <w:trPr>
          <w:trHeight w:hRule="atLeast" w:val="46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424.22.00269</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Финансово-экономическая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 (Отборочная стадия проводится в соответствии с Методикой проведения экспертизы финансово-экономической устойчивости участников закупочных процедур)</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5" w:name="JR_PAGE_ANCHOR_0_3"/>
            <w:bookmarkEnd w:id="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424.22.00269</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6" w:name="JR_PAGE_ANCHOR_0_3"/>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3"/>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3"/>
                  <w:bookmarkEnd w:id="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9" w:name="JR_PAGE_ANCHOR_0_4"/>
            <w:bookmarkEnd w:id="9"/>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0" w:name="JR_PAGE_ANCHOR_0_4"/>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4"/>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4"/>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4"/>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4"/>
                  <w:bookmarkEnd w:id="14"/>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5" w:name="JR_PAGE_ANCHOR_0_4"/>
                  <w:bookmarkEnd w:id="1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6" w:name="JR_PAGE_ANCHOR_0_4"/>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4"/>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4"/>
                  <w:bookmarkEnd w:id="1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9" w:name="JR_PAGE_ANCHOR_0_4"/>
                  <w:bookmarkEnd w:id="19"/>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424.22.00269</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424.22.00269</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424.22.00269</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5" w:name="JR_PAGE_ANCHOR_0_11"/>
            <w:bookmarkEnd w:id="3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424.22.00269</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6" w:name="JR_PAGE_ANCHOR_0_11"/>
                  <w:bookmarkEnd w:id="3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7" w:name="JR_PAGE_ANCHOR_0_11"/>
                  <w:bookmarkEnd w:id="3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8" w:name="JR_PAGE_ANCHOR_0_11"/>
                  <w:bookmarkEnd w:id="3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9" w:name="JR_PAGE_ANCHOR_0_12"/>
            <w:bookmarkEnd w:id="3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