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2 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к извещению о продаже имущества путем проведения Запроса цен</w:t>
      </w:r>
      <w:r>
        <w:rPr>
          <w:rFonts w:hint="eastAsia" w:ascii="Liberation Serif" w:hAnsi="Liberation Serif" w:cs="Liberation Serif"/>
          <w:sz w:val="20"/>
          <w:szCs w:val="20"/>
        </w:rPr>
      </w:r>
      <w:r>
        <w:rPr>
          <w:rFonts w:hint="eastAsia" w:ascii="Liberation Serif" w:hAnsi="Liberation Serif" w:cs="Liberation Serif"/>
          <w:sz w:val="20"/>
          <w:szCs w:val="20"/>
        </w:rPr>
      </w:r>
    </w:p>
    <w:p>
      <w:pPr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jc w:val="center"/>
        <w:rPr>
          <w:rFonts w:hint="eastAsia" w:ascii="Liberation Serif" w:hAnsi="Liberation Serif" w:cs="Liberation Serif"/>
          <w:b/>
          <w:caps/>
        </w:rPr>
      </w:pPr>
      <w:r>
        <w:rPr>
          <w:rFonts w:ascii="Liberation Serif" w:hAnsi="Liberation Serif" w:eastAsia="Liberation Serif" w:cs="Liberation Serif"/>
          <w:b/>
          <w:caps/>
          <w:lang w:val="ru-RU" w:eastAsia="en-US"/>
        </w:rPr>
        <w:t xml:space="preserve">Договор купли-продажи</w:t>
      </w:r>
      <w:r>
        <w:rPr>
          <w:rFonts w:hint="eastAsia" w:ascii="Liberation Serif" w:hAnsi="Liberation Serif" w:cs="Liberation Serif"/>
          <w:b/>
          <w:caps/>
        </w:rPr>
      </w:r>
      <w:r>
        <w:rPr>
          <w:rFonts w:hint="eastAsia" w:ascii="Liberation Serif" w:hAnsi="Liberation Serif" w:cs="Liberation Serif"/>
          <w:b/>
          <w:caps/>
        </w:rPr>
      </w:r>
    </w:p>
    <w:p>
      <w:pPr>
        <w:jc w:val="center"/>
        <w:rPr>
          <w:rFonts w:hint="eastAsia" w:ascii="Liberation Serif" w:hAnsi="Liberation Serif" w:cs="Liberation Serif"/>
          <w:b/>
          <w:caps/>
        </w:rPr>
      </w:pPr>
      <w:r>
        <w:rPr>
          <w:rFonts w:ascii="Liberation Serif" w:hAnsi="Liberation Serif" w:eastAsia="Liberation Serif" w:cs="Liberation Serif"/>
          <w:b/>
          <w:caps/>
          <w:lang w:val="ru-RU" w:eastAsia="en-US"/>
        </w:rPr>
        <w:t xml:space="preserve">ИМУЩЕСТВА № ____________</w:t>
      </w:r>
      <w:r>
        <w:rPr>
          <w:rFonts w:hint="eastAsia" w:ascii="Liberation Serif" w:hAnsi="Liberation Serif" w:cs="Liberation Serif"/>
          <w:b/>
          <w:caps/>
        </w:rPr>
      </w:r>
      <w:r>
        <w:rPr>
          <w:rFonts w:hint="eastAsia" w:ascii="Liberation Serif" w:hAnsi="Liberation Serif" w:cs="Liberation Serif"/>
          <w:b/>
          <w:caps/>
        </w:rPr>
      </w:r>
    </w:p>
    <w:p>
      <w:pPr>
        <w:ind w:firstLine="540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tbl>
      <w:tblPr>
        <w:tblW w:w="9770" w:type="dxa"/>
        <w:tblInd w:w="108" w:type="dxa"/>
        <w:tblLook w:val="0000" w:firstRow="0" w:lastRow="0" w:firstColumn="0" w:lastColumn="0" w:noHBand="0" w:noVBand="0"/>
      </w:tblPr>
      <w:tblGrid>
        <w:gridCol w:w="4820"/>
        <w:gridCol w:w="4950"/>
      </w:tblGrid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г. __________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W w:w="4950" w:type="dxa"/>
            <w:textDirection w:val="lrTb"/>
            <w:noWrap w:val="false"/>
          </w:tcPr>
          <w:p>
            <w:pPr>
              <w:jc w:val="right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«___» __________ 202___ г.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</w:tbl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Акционерное общество «Томская энергосбытовая компания» 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br/>
        <w:t xml:space="preserve">(АО «Томскэнергосбыт»)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, именуемое в дальнейшем 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«Продавец»,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 в лице Генерального директора Кучевской Оксаны Евгеньевны, действующего на основании Устава, с одной стороны, и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_____________________________________________________________________________, 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именуемое в дальнейшем 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«Покупатель», 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в лице ________________________________________, действующего на основании ___________________________________________, с другой стороны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, 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далее по отдельности именуемые также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 «Сторона», 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а совместно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 – «Стороны», 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подписали настоящий договор купли-продажи движимого имущества (далее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 – «Договор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») о нижеследующем: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spacing w:line="276" w:lineRule="auto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1. ПРЕДМЕТ ДОГОВОРА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1.1. По настоящему Договору Продавец обязуется передать в собствен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ность Покупателя имущество, указанное в Приложении №1 к настоящему договору (далее по тексту – «Имущество») в сроки, предусмотренные Договором, а Покупатель обязуется принять Имущество и уплатить за него цену в размере и порядке, предусмотренных Договором.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1.2. Имущество принадлежит Продавцу на праве собственности.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1.3. Продавец гарантирует, что до подписания настоящего Договора Имущество никому другому не продано, не заложено, в споре, под арестом и запретом не состоит и свободно от любых прав третьих лиц.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1.4. Продавец передает Покупателю Имущество в исправном состоянии, но бывшем в эксплуатации.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2. ПРАВА И ОБЯЗАННОСТИ СТОРОН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2.1. </w:t>
      </w:r>
      <w:r>
        <w:rPr>
          <w:rFonts w:ascii="Liberation Serif" w:hAnsi="Liberation Serif" w:eastAsia="Liberation Serif" w:cs="Liberation Serif"/>
          <w:sz w:val="26"/>
          <w:szCs w:val="26"/>
          <w:u w:val="single"/>
          <w:lang w:val="ru-RU" w:eastAsia="en-US"/>
        </w:rPr>
        <w:t xml:space="preserve">Продавец обязан: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2.1.1. Передать Покупателю Имущество по акту приема-передачи.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2.1.2. Одновременно с передачей Имущества передать Покупателю имеющуюся техническую документацию, являющуюся его принадлежностью (при наличии), счет-фактуры, накладные.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2.2. </w:t>
      </w:r>
      <w:r>
        <w:rPr>
          <w:rFonts w:ascii="Liberation Serif" w:hAnsi="Liberation Serif" w:eastAsia="Liberation Serif" w:cs="Liberation Serif"/>
          <w:sz w:val="26"/>
          <w:szCs w:val="26"/>
          <w:u w:val="single"/>
          <w:lang w:val="ru-RU" w:eastAsia="en-US"/>
        </w:rPr>
        <w:t xml:space="preserve">Покупатель обязан: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2.2.1. Принять Имущество в порядке и сроки, установленные настоящим Договором.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2.2.2. Оплатить Имущество в размере, порядке и в сроки, предусмотренные </w:t>
      </w:r>
      <w:hyperlink w:tooltip="#Par58" w:anchor="Par58" w:history="1">
        <w:r>
          <w:rPr>
            <w:rFonts w:ascii="Liberation Serif" w:hAnsi="Liberation Serif" w:eastAsia="Liberation Serif" w:cs="Liberation Serif"/>
            <w:sz w:val="26"/>
            <w:szCs w:val="26"/>
            <w:lang w:val="ru-RU" w:eastAsia="en-US"/>
          </w:rPr>
          <w:t xml:space="preserve">разделом 3</w:t>
        </w:r>
      </w:hyperlink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 настоящего Договора.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3. ЦЕНА ДОГОВОРА И ПОРЯДОК РАСЧЕТОВ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3.1.</w:t>
      </w:r>
      <w:r>
        <w:rPr>
          <w:rFonts w:ascii="Liberation Serif" w:hAnsi="Liberation Serif" w:cs="Liberation Serif" w:eastAsiaTheme="minorHAnsi"/>
          <w:sz w:val="26"/>
          <w:szCs w:val="26"/>
          <w:lang w:val="ru-RU" w:eastAsia="en-US"/>
        </w:rPr>
        <w:t xml:space="preserve"> Цена Имущества, передаваемого по настоящему Договору, составляет ______________________________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3.2. Оплата стоимости Имущества 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производится Покупателем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на следующих условиях: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 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аванс в размере 100 (Сто) % от цены Имущества, установленной п. 3.1. настоящего Договора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на основании выставленного Счета в течение 3 (трех) рабочих дней.</w:t>
      </w:r>
      <w:r>
        <w:rPr>
          <w:rFonts w:ascii="Liberation Serif" w:hAnsi="Liberation Serif" w:eastAsia="Liberation Serif" w:cs="Liberation Serif"/>
          <w:sz w:val="26"/>
          <w:szCs w:val="26"/>
          <w:highlight w:val="none"/>
          <w:lang w:val="ru-RU" w:eastAsia="en-US"/>
        </w:rPr>
      </w:r>
      <w:r/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3.3. Покупатель производит уплату стоимости Имущества путем перечисления денежных средств на расчетный счет Продавца.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3.4. Датой оплаты считается день зачисления денежных средств на расчетный счет Продавца.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3.5. Стороны договорились, что любые авансы, предварительные оплаты в рамках настоящего Договора не являются коммерческим кредитом по с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мыслу ст. 823 ГК РФ и не дают кредитору по соответствующему денежному обязательству права и не выступают основаниями для начисления и взимания законных процентов за пользование денежными средствами на условиях и в порядке, предусмотренных ст. 317.1. ГК РФ.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</w:p>
    <w:p>
      <w:pPr>
        <w:ind w:firstLine="709"/>
        <w:jc w:val="both"/>
        <w:widowControl w:val="off"/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4. ПЕРЕДАЧА И ПРИНЯТИЕ ИМУЩЕСТВА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4.1. Имущество должно быть передано Покупателю в срок до 31.12.2026.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</w:r>
    </w:p>
    <w:p>
      <w:pPr>
        <w:ind w:firstLine="709"/>
        <w:jc w:val="both"/>
        <w:widowControl w:val="off"/>
        <w:rPr>
          <w:rFonts w:ascii="Liberation Serif" w:hAnsi="Liberation Serif" w:eastAsia="Liberation Serif" w:cs="Liberation Serif"/>
          <w:lang w:val="ru-RU" w:eastAsia="en-US"/>
        </w:rPr>
      </w:pPr>
      <w:r>
        <w:rPr>
          <w:rFonts w:hint="eastAsia" w:ascii="Liberation Serif" w:hAnsi="Liberation Serif" w:cs="Liberation Serif"/>
          <w:sz w:val="26"/>
          <w:szCs w:val="26"/>
        </w:rPr>
        <w:t xml:space="preserve">4.2. 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Передача Имущества осуществляется посредством его самовывоза с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илами Покупателя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по следующему адресу: Томская область, г. Томск, ул. Пушкина, 63, стр. 76.</w:t>
      </w:r>
      <w:r>
        <w:rPr>
          <w:rFonts w:ascii="Liberation Serif" w:hAnsi="Liberation Serif" w:eastAsia="Liberation Serif" w:cs="Liberation Serif"/>
          <w:lang w:val="ru-RU" w:eastAsia="en-US"/>
        </w:rPr>
      </w:r>
      <w:r>
        <w:rPr>
          <w:rFonts w:ascii="Liberation Serif" w:hAnsi="Liberation Serif" w:eastAsia="Liberation Serif" w:cs="Liberation Serif"/>
          <w:lang w:val="ru-RU" w:eastAsia="en-US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4.3. Покупатель, которому передается Имущество, обязан осмотреть его, проверить соответствие качества и комплектности условиям настоящего Договора и принять Имущество.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spacing w:line="276" w:lineRule="auto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4.4. Принятие Имущества Покупателем подтверждается подписанием акта приема-передачи.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4.5. Право собственности на Имущество, а также риск случайной гибели или повреждения Имущества переходят от Продавца к Покупателю с даты подписания акта приема-передачи.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5. ОТВЕТСТВЕННОСТЬ СТОРОН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5.1. За нарушение срока уплаты цены договора, предусмотренного п.3.2. настоящего Договора, Продавец в праве требовать от Покупателя уплаты пени в размере 1/365 ключевой ставки ЦБ РФ от неуплаченной в срок суммы за каждый день просрочки.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5.2. За нарушение срока передачи Имущества, предусмотренного п.4.1. настоящего Договора, Покупатель вправе потребовать от Продавца уплаты пени в размере 1/365 ключевой ставки ЦБ РФ от цены договора за каждый день просрочки.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5.3. За нарушение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6. РАЗРЕШЕНИЕ СПОРОВ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6.2. Не 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keepLines/>
        <w:keepNext/>
        <w:spacing w:line="276" w:lineRule="auto"/>
        <w:shd w:val="clear" w:color="auto" w:fill="ffffff"/>
        <w:widowControl w:val="off"/>
        <w:tabs>
          <w:tab w:val="left" w:pos="508" w:leader="none"/>
        </w:tabs>
        <w:rPr>
          <w:rFonts w:hint="eastAsia" w:ascii="Liberation Serif" w:hAnsi="Liberation Serif" w:cs="Liberation Serif"/>
          <w:b/>
          <w:bCs/>
          <w:sz w:val="26"/>
          <w:szCs w:val="26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ascii="Liberation Serif" w:hAnsi="Liberation Serif" w:eastAsia="Liberation Serif" w:cs="Liberation Serif"/>
          <w:b/>
          <w:sz w:val="26"/>
          <w:szCs w:val="26"/>
          <w:highlight w:val="white"/>
          <w:lang w:val="ru-RU" w:eastAsia="en-US"/>
        </w:rPr>
        <w:t xml:space="preserve">7. </w:t>
      </w:r>
      <w:r>
        <w:rPr>
          <w:rFonts w:ascii="Liberation Serif" w:hAnsi="Liberation Serif" w:eastAsia="Liberation Serif" w:cs="Liberation Serif"/>
          <w:b/>
          <w:bCs/>
          <w:sz w:val="26"/>
          <w:szCs w:val="26"/>
          <w:highlight w:val="white"/>
          <w:lang w:val="ru-RU" w:eastAsia="en-US"/>
        </w:rPr>
        <w:t xml:space="preserve">АНТИКОРРУПЦИОННАЯ ОГОВОРКА</w:t>
      </w:r>
      <w:r>
        <w:rPr>
          <w:rFonts w:hint="eastAsia" w:ascii="Liberation Serif" w:hAnsi="Liberation Serif" w:cs="Liberation Serif"/>
          <w:b/>
          <w:bCs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b/>
          <w:bCs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7.1. Покупателю известно о том, что Продавец ведет антикоррупционную политику и развивает не допускающую коррупционных проявлений культуру.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Договора законодательством, как дача получение взятки, коммерческий подкуп, а также действия, нарушающие требования применимого законодательства и международных актов о противодействии коррупции легализации (отмыванию) доходов, полученных преступным путем.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В случае возникновения у Стороны подозрений, что со Стороны-контрагента и (или) его представителя, и (или) работника, и (или) его аффилированного лица произ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ошло или может произойти нарушение каких-либо положений настоящего раздела 7.,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 </w:t>
      </w:r>
      <w:hyperlink r:id="rId13" w:tooltip="mailto:hotline@interrao.ru" w:history="1">
        <w:r>
          <w:rPr>
            <w:rFonts w:ascii="Liberation Serif" w:hAnsi="Liberation Serif" w:eastAsia="Liberation Serif" w:cs="Liberation Serif"/>
            <w:sz w:val="26"/>
            <w:szCs w:val="26"/>
            <w:highlight w:val="white"/>
            <w:lang w:val="ru-RU" w:eastAsia="en-US"/>
          </w:rPr>
          <w:t xml:space="preserve">hotline@interrao.ru</w:t>
        </w:r>
      </w:hyperlink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. Сторона, направившая письменное уведомление, имеет право приостановить исполнение обязательств по Договору до получения подтверждения от другой С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тороны, что нарушения не произошло или не произойдет. Это подтверждение должно быть направлено Стороной, получившей указанное уведомление, в адрес направившей его Стороны, в течение семи рабочих дней с даты получения вышеуказанного письменного уведомления.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В письменном уведомлении Сто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7. Стороной, выражающееся в действиях, квалифицируе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коррупции, легализации доходов, полученных преступным путем.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7.2. В случае нарушения одной Стороной обязательств воздерживаться от запрещенных в пункте 7.1. Договора действий и/или неполучения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 другой Стороной в установленный 7.1. Договора срок подтверждения, что нарушения не произошло или не произойдет, другая Сторона имеет право расторгнуть Договор в одностороннем порядке, направив письменное уведомление о его расторжении. Сторона, по чьей ини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val="ru-RU" w:eastAsia="en-US"/>
        </w:rPr>
        <w:t xml:space="preserve">циативе был расторгнут настоящий Договор в соответствии с положениями настоящего пункта 7.2, вправе требовать возмещения реального ущерба, возникшего в результате такого расторжения, при условии представления подтверждающих такой реальный ущерб документов.</w:t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  <w:r>
        <w:rPr>
          <w:rFonts w:hint="eastAsia" w:ascii="Liberation Serif" w:hAnsi="Liberation Serif" w:cs="Liberation Serif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8. ЗАКЛЮЧИТЕЛЬНЫЕ ПОЛОЖЕНИЯ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8.1. Настоящий Договор вступает в силу с момента его подписания Сторонами и действует до полного исполнения ими обязательств по Договору.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8.2.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8.3. Любые изменения и дополнения к настоящему Договору действительны при условии, если они совершены в письменной форме и подписаны обеими Сторонами.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8.5. Договор составлен в двух экземплярах, из которых один находится у Продавца, второй - у Покупателя.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9. ПРИЛОЖЕНИЯ К ДОГОВОРУ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9.1. Перечень Имущества (Приложение №1);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9.2. Акт приема-передачи Имущества (Приложение №2);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9.3. Форма по раскрытию информации в отношении всей цепочки собственников, включая бенефициаров (в том числе, конечных) (Приложение № 3).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9.4. Согласие на обработку персональных данных (Приложение № 4).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jc w:val="center"/>
        <w:spacing w:before="60" w:after="60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/>
      <w:bookmarkStart w:id="9" w:name="undefined"/>
      <w:r/>
      <w:bookmarkEnd w:id="9"/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10. АДРЕСА, РЕКВИЗИТЫ И ПОДПИСИ СТОРОН</w:t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spacing w:before="60" w:after="60"/>
        <w:widowControl w:val="off"/>
        <w:tabs>
          <w:tab w:val="left" w:pos="5520" w:leader="none"/>
        </w:tabs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ab/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tbl>
      <w:tblPr>
        <w:tblStyle w:val="948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00"/>
        <w:gridCol w:w="4879"/>
      </w:tblGrid>
      <w:tr>
        <w:tblPrEx/>
        <w:trPr/>
        <w:tc>
          <w:tcPr>
            <w:tcW w:w="4955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/>
                <w:sz w:val="26"/>
                <w:szCs w:val="26"/>
                <w:lang w:val="ru-RU" w:eastAsia="en-US"/>
              </w:rPr>
              <w:t xml:space="preserve">«Продавец»</w:t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/>
                <w:sz w:val="26"/>
                <w:szCs w:val="26"/>
                <w:lang w:val="ru-RU" w:eastAsia="en-US"/>
              </w:rPr>
              <w:t xml:space="preserve">АО «Томскэнергосбыт»</w:t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6"/>
                <w:szCs w:val="26"/>
                <w:highlight w:val="white"/>
                <w:lang w:val="ru-RU" w:eastAsia="en-US"/>
              </w:rPr>
              <w:t xml:space="preserve">Почтовый адрес:</w:t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Котовского ул., д.19, г. Томск, 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Томская область, 634034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6"/>
                <w:szCs w:val="26"/>
                <w:highlight w:val="white"/>
                <w:lang w:val="ru-RU" w:eastAsia="en-US"/>
              </w:rPr>
              <w:t xml:space="preserve">Юридический адрес: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634034, Томская область, 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г. Томск, ул. Котовского, д.19 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ОГРН 1057000128184 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ИНН/КПП 7017114680/785150001,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jc w:val="both"/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р/с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ru-RU"/>
              </w:rPr>
              <w:t xml:space="preserve">40702810800000039366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ru-RU"/>
              </w:rPr>
              <w:t xml:space="preserve">Банк ГПБ (АО) г. Москва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,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к/с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ru-RU"/>
              </w:rPr>
              <w:t xml:space="preserve">30101810200000000823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;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БИК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ru-RU"/>
              </w:rPr>
              <w:t xml:space="preserve">044525823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Тел.: (3822) 48-47-00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Факс: (3822) 48-47-16</w:t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  <w:highlight w:val="white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highlight w:val="white"/>
                <w:lang w:val="ru-RU" w:eastAsia="en-US"/>
              </w:rPr>
              <w:t xml:space="preserve">Эл. почта: </w:t>
            </w:r>
            <w:r>
              <w:rPr>
                <w:rFonts w:ascii="Liberation Serif" w:hAnsi="Liberation Serif" w:eastAsia="Liberation Serif" w:cs="Liberation Serif"/>
                <w:color w:val="0000ff" w:themeColor="hyperlink"/>
                <w:sz w:val="26"/>
                <w:szCs w:val="26"/>
                <w:highlight w:val="white"/>
                <w:u w:val="single"/>
                <w:lang w:val="ru-RU" w:eastAsia="en-US"/>
              </w:rPr>
              <w:t xml:space="preserve">secretar@tomskenergosbyt.ru</w:t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val="ru-RU" w:eastAsia="en-US"/>
              </w:rPr>
              <w:t xml:space="preserve">Генеральный директор</w:t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tabs>
                <w:tab w:val="left" w:pos="5520" w:leader="none"/>
              </w:tabs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val="ru-RU" w:eastAsia="en-US"/>
              </w:rPr>
              <w:t xml:space="preserve">___________________О. Е. Кучевская</w:t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</w:p>
        </w:tc>
        <w:tc>
          <w:tcPr>
            <w:tcW w:w="4956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/>
                <w:sz w:val="26"/>
                <w:szCs w:val="26"/>
                <w:lang w:val="ru-RU" w:eastAsia="en-US"/>
              </w:rPr>
              <w:t xml:space="preserve">«Покупатель»</w:t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bCs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rPr>
                <w:rFonts w:hint="eastAsia"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val="ru-RU" w:eastAsia="en-US"/>
              </w:rPr>
              <w:t xml:space="preserve">___________________ </w:t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sz w:val="26"/>
                <w:szCs w:val="26"/>
              </w:rPr>
            </w:r>
          </w:p>
          <w:p>
            <w:pPr>
              <w:tabs>
                <w:tab w:val="left" w:pos="5520" w:leader="none"/>
              </w:tabs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  <w:r>
              <w:rPr>
                <w:rFonts w:hint="eastAsia" w:ascii="Liberation Serif" w:hAnsi="Liberation Serif" w:cs="Liberation Serif"/>
                <w:b/>
                <w:sz w:val="26"/>
                <w:szCs w:val="26"/>
              </w:rPr>
            </w:r>
          </w:p>
        </w:tc>
      </w:tr>
    </w:tbl>
    <w:p>
      <w:pPr>
        <w:tabs>
          <w:tab w:val="left" w:pos="5520" w:leader="none"/>
        </w:tabs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1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к договору купли-продажи имущества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tabs>
          <w:tab w:val="left" w:pos="3005" w:leader="none"/>
        </w:tabs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  <w:t xml:space="preserve">                                  от «___» ___________ 202 __ г.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</w:r>
    </w:p>
    <w:p>
      <w:pPr>
        <w:jc w:val="center"/>
        <w:tabs>
          <w:tab w:val="left" w:pos="3005" w:leader="none"/>
        </w:tabs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  <w:t xml:space="preserve">                                      № ______________________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tabs>
          <w:tab w:val="left" w:pos="3005" w:leader="none"/>
        </w:tabs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spacing w:after="60"/>
        <w:rPr>
          <w:rFonts w:hint="eastAsia" w:ascii="Liberation Serif" w:hAnsi="Liberation Serif" w:cs="Liberation Serif"/>
          <w:color w:val="000000"/>
          <w:sz w:val="22"/>
          <w:szCs w:val="22"/>
        </w:rPr>
      </w:pP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</w:p>
    <w:p>
      <w:pPr>
        <w:jc w:val="center"/>
        <w:spacing w:after="60"/>
        <w:rPr>
          <w:rFonts w:hint="eastAsia"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eastAsia="Liberation Serif" w:cs="Liberation Serif"/>
          <w:color w:val="000000"/>
          <w:sz w:val="22"/>
          <w:szCs w:val="22"/>
          <w:lang w:val="ru-RU" w:eastAsia="en-US"/>
        </w:rPr>
        <w:t xml:space="preserve">Перечень Имущества</w:t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</w:p>
    <w:tbl>
      <w:tblPr>
        <w:tblStyle w:val="948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1842"/>
        <w:gridCol w:w="1404"/>
        <w:gridCol w:w="1090"/>
        <w:gridCol w:w="1610"/>
      </w:tblGrid>
      <w:tr>
        <w:tblPrEx/>
        <w:trPr/>
        <w:tc>
          <w:tcPr>
            <w:tcW w:w="421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№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Номенклатура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Код (инвентарный номер)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1404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Стоимость с  НДС, руб.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109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НДС, руб.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Стоимость без учета НДС, руб.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W w:w="421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  <w:lang w:val="ru-RU" w:eastAsia="en-US"/>
              </w:rPr>
              <w:t xml:space="preserve">1</w:t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hint="eastAsia"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Зарядная станция для электромобилей DB67G «СТАР»</w:t>
            </w:r>
            <w:r>
              <w:rPr>
                <w:rFonts w:hint="eastAsia" w:ascii="Liberation Serif" w:hAnsi="Liberation Serif" w:cs="Liberation Serif"/>
                <w:sz w:val="20"/>
              </w:rPr>
            </w:r>
            <w:r>
              <w:rPr>
                <w:rFonts w:hint="eastAsia" w:ascii="Liberation Serif" w:hAnsi="Liberation Serif" w:cs="Liberation Serif"/>
                <w:sz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БУ-089743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404" w:type="dxa"/>
            <w:textDirection w:val="lrTb"/>
            <w:noWrap w:val="false"/>
          </w:tcPr>
          <w:p>
            <w:r/>
            <w:r/>
          </w:p>
        </w:tc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610" w:type="dxa"/>
            <w:textDirection w:val="lrTb"/>
            <w:noWrap w:val="false"/>
          </w:tcPr>
          <w:p>
            <w:r/>
            <w:r/>
          </w:p>
        </w:tc>
      </w:tr>
    </w:tbl>
    <w:p>
      <w:pPr>
        <w:jc w:val="center"/>
        <w:spacing w:after="60"/>
        <w:rPr>
          <w:rFonts w:hint="eastAsia" w:ascii="Liberation Serif" w:hAnsi="Liberation Serif" w:cs="Liberation Serif"/>
          <w:color w:val="000000"/>
          <w:sz w:val="22"/>
          <w:szCs w:val="22"/>
        </w:rPr>
        <w:sectPr>
          <w:headerReference w:type="first" r:id="rId9"/>
          <w:footnotePr/>
          <w:endnotePr/>
          <w:type w:val="nextPage"/>
          <w:pgSz w:w="11906" w:h="16838" w:orient="portrait"/>
          <w:pgMar w:top="851" w:right="709" w:bottom="284" w:left="1418" w:header="709" w:footer="709" w:gutter="0"/>
          <w:cols w:num="1" w:sep="0" w:space="720" w:equalWidth="1"/>
          <w:docGrid w:linePitch="360"/>
          <w:titlePg/>
        </w:sectPr>
      </w:pP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</w:p>
    <w:p>
      <w:pPr>
        <w:jc w:val="right"/>
        <w:rPr>
          <w:rFonts w:ascii="Liberation Serif" w:hAnsi="Liberation Serif" w:eastAsia="Liberation Serif" w:cs="Liberation Serif"/>
          <w:color w:val="000000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№2</w:t>
      </w:r>
      <w:r>
        <w:rPr>
          <w:rFonts w:ascii="Liberation Serif" w:hAnsi="Liberation Serif" w:eastAsia="Liberation Serif" w:cs="Liberation Serif"/>
          <w:color w:val="000000"/>
          <w:sz w:val="22"/>
          <w:szCs w:val="22"/>
        </w:rPr>
      </w:r>
      <w:r>
        <w:rPr>
          <w:rFonts w:ascii="Liberation Serif" w:hAnsi="Liberation Serif" w:eastAsia="Liberation Serif" w:cs="Liberation Serif"/>
          <w:color w:val="000000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к Договору купли-продажи имущества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4248" w:firstLine="708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                                        от "__"___________ ____ г.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2832" w:firstLine="708"/>
        <w:jc w:val="center"/>
        <w:rPr>
          <w:rFonts w:ascii="Liberation Serif" w:hAnsi="Liberation Serif" w:eastAsia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                                                                  №_____________________</w:t>
      </w: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eastAsia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Акт приема-передачи Имущества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jc w:val="center"/>
        <w:widowControl w:val="off"/>
        <w:rPr>
          <w:rFonts w:hint="eastAsia" w:ascii="Liberation Serif" w:hAnsi="Liberation Serif" w:cs="Liberation Serif"/>
          <w:b/>
          <w:sz w:val="26"/>
          <w:szCs w:val="26"/>
        </w:rPr>
      </w:pP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  <w:r>
        <w:rPr>
          <w:rFonts w:hint="eastAsia" w:ascii="Liberation Serif" w:hAnsi="Liberation Serif" w:cs="Liberation Serif"/>
          <w:b/>
          <w:sz w:val="26"/>
          <w:szCs w:val="26"/>
        </w:rPr>
      </w:r>
    </w:p>
    <w:p>
      <w:pPr>
        <w:ind w:firstLine="567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г. Томск                                                                                         «___» _______ 202_ г.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709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Акционерное общество «Томская энергосбытовая компания» 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br/>
        <w:t xml:space="preserve">(АО «Томскэнергосбыт»)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, именуемое в дальнейшем </w:t>
      </w:r>
      <w:r>
        <w:rPr>
          <w:rFonts w:ascii="Liberation Serif" w:hAnsi="Liberation Serif" w:cs="Liberation Serif" w:eastAsiaTheme="minorEastAsia"/>
          <w:b/>
          <w:sz w:val="26"/>
          <w:szCs w:val="26"/>
          <w:lang w:val="ru-RU" w:eastAsia="ru-RU"/>
        </w:rPr>
        <w:t xml:space="preserve">«Продавец»,</w:t>
      </w: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 в лице Генерального директора Кучевской Оксаны Евгеньевны, действующего на основании Устава, с одной стороны, и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567"/>
        <w:jc w:val="both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______________________________________________________________________________________________________________________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, именуемое в дальнейшем </w:t>
      </w:r>
      <w:r>
        <w:rPr>
          <w:rFonts w:ascii="Liberation Serif" w:hAnsi="Liberation Serif" w:eastAsia="Liberation Serif" w:cs="Liberation Serif"/>
          <w:b/>
          <w:sz w:val="26"/>
          <w:szCs w:val="26"/>
          <w:lang w:val="ru-RU" w:eastAsia="en-US"/>
        </w:rPr>
        <w:t xml:space="preserve">«Покупатель», </w:t>
      </w:r>
      <w:r>
        <w:rPr>
          <w:rFonts w:ascii="Liberation Serif" w:hAnsi="Liberation Serif" w:eastAsia="Liberation Serif" w:cs="Liberation Serif"/>
          <w:sz w:val="26"/>
          <w:szCs w:val="26"/>
          <w:lang w:val="ru-RU" w:eastAsia="en-US"/>
        </w:rPr>
        <w:t xml:space="preserve">в лице ________________________________________, с другой стороны, а вместе именуемые «Стороны», составили настоящий акт о том, что Продавец передал, а Покупатель принял следующее Имущество: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567"/>
        <w:jc w:val="both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tbl>
      <w:tblPr>
        <w:tblStyle w:val="948"/>
        <w:tblW w:w="9786" w:type="dxa"/>
        <w:tblLayout w:type="fixed"/>
        <w:tblLook w:val="04A0" w:firstRow="1" w:lastRow="0" w:firstColumn="1" w:lastColumn="0" w:noHBand="0" w:noVBand="1"/>
      </w:tblPr>
      <w:tblGrid>
        <w:gridCol w:w="574"/>
        <w:gridCol w:w="6661"/>
        <w:gridCol w:w="1417"/>
        <w:gridCol w:w="1134"/>
      </w:tblGrid>
      <w:tr>
        <w:tblPrEx/>
        <w:trPr>
          <w:trHeight w:val="694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№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Номенклатура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Код (инвентарный номер)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Количество, шт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lang w:val="ru-RU" w:eastAsia="en-US"/>
              </w:rPr>
              <w:t xml:space="preserve">1.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jc w:val="both"/>
              <w:rPr>
                <w:rFonts w:hint="eastAsia"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Зарядная станция для электромобилей DB67G «СТАР»</w:t>
            </w:r>
            <w:r>
              <w:rPr>
                <w:rFonts w:hint="eastAsia" w:ascii="Liberation Serif" w:hAnsi="Liberation Serif" w:cs="Liberation Serif"/>
                <w:sz w:val="20"/>
              </w:rPr>
            </w:r>
            <w:r>
              <w:rPr>
                <w:rFonts w:hint="eastAsia" w:ascii="Liberation Serif" w:hAnsi="Liberation Serif" w:cs="Liberation Serif"/>
                <w:sz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БУ-089743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1 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52" w:type="dxa"/>
            <w:vAlign w:val="bottom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Итого: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val="ru-RU" w:eastAsia="en-US"/>
              </w:rPr>
              <w:t xml:space="preserve">1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Техническое состояние передаваемого Имущества удовлетворительное, пригодно для использования. Претензии со стороны Покупателя по техническому состоянию отсутствуют.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567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Theme="minorEastAsia"/>
          <w:sz w:val="26"/>
          <w:szCs w:val="26"/>
          <w:lang w:val="ru-RU" w:eastAsia="ru-RU"/>
        </w:rPr>
        <w:t xml:space="preserve">Покупатель проинформирован, что Имущество – бывшее в эксплуатации.</w:t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p>
      <w:pPr>
        <w:ind w:firstLine="567"/>
        <w:jc w:val="both"/>
        <w:widowControl w:val="off"/>
        <w:rPr>
          <w:rFonts w:hint="eastAsia" w:ascii="Liberation Serif" w:hAnsi="Liberation Serif" w:cs="Liberation Serif"/>
          <w:sz w:val="26"/>
          <w:szCs w:val="26"/>
        </w:rPr>
      </w:pP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  <w:r>
        <w:rPr>
          <w:rFonts w:hint="eastAsia" w:ascii="Liberation Serif" w:hAnsi="Liberation Serif" w:cs="Liberation Serif"/>
          <w:sz w:val="26"/>
          <w:szCs w:val="26"/>
        </w:rPr>
      </w:r>
    </w:p>
    <w:tbl>
      <w:tblPr>
        <w:tblStyle w:val="948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850"/>
        <w:gridCol w:w="4929"/>
      </w:tblGrid>
      <w:tr>
        <w:tblPrEx/>
        <w:trPr/>
        <w:tc>
          <w:tcPr>
            <w:tcW w:w="4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«Продавец»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АО «Томскэнергосбыт»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Генеральный директор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_____________________ О.Е. Кучевская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W w:w="4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«Покупатель»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________________________________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________________________________ 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</w:tbl>
    <w:p>
      <w:pPr>
        <w:jc w:val="center"/>
        <w:spacing w:after="60"/>
        <w:rPr>
          <w:rFonts w:hint="eastAsia" w:ascii="Liberation Serif" w:hAnsi="Liberation Serif" w:cs="Liberation Serif"/>
          <w:color w:val="000000"/>
          <w:sz w:val="22"/>
          <w:szCs w:val="22"/>
        </w:rPr>
      </w:pP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</w:p>
    <w:p>
      <w:pPr>
        <w:jc w:val="center"/>
        <w:spacing w:after="60"/>
        <w:rPr>
          <w:rFonts w:hint="eastAsia" w:ascii="Liberation Serif" w:hAnsi="Liberation Serif" w:cs="Liberation Serif"/>
          <w:color w:val="000000"/>
          <w:sz w:val="22"/>
          <w:szCs w:val="22"/>
        </w:rPr>
        <w:sectPr>
          <w:footnotePr/>
          <w:endnotePr/>
          <w:type w:val="nextPage"/>
          <w:pgSz w:w="11906" w:h="16838" w:orient="portrait"/>
          <w:pgMar w:top="851" w:right="709" w:bottom="284" w:left="1418" w:header="709" w:footer="720" w:gutter="0"/>
          <w:cols w:num="1" w:sep="0" w:space="720" w:equalWidth="1"/>
          <w:docGrid w:linePitch="360"/>
        </w:sectPr>
      </w:pP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  <w:r>
        <w:rPr>
          <w:rFonts w:hint="eastAsia" w:ascii="Liberation Serif" w:hAnsi="Liberation Serif" w:cs="Liberation Serif"/>
          <w:color w:val="000000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3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к извещению о продаже Имущества путем проведения Запроса цен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Форма справки о собственниках / бенефициарах Участника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  <w:t xml:space="preserve">                                                                                                                          «__» __________ 20__ г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tbl>
      <w:tblPr>
        <w:tblW w:w="14853" w:type="dxa"/>
        <w:tblInd w:w="850" w:type="dxa"/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851"/>
        <w:gridCol w:w="992"/>
        <w:gridCol w:w="709"/>
        <w:gridCol w:w="1134"/>
        <w:gridCol w:w="1559"/>
        <w:gridCol w:w="567"/>
        <w:gridCol w:w="709"/>
        <w:gridCol w:w="850"/>
        <w:gridCol w:w="851"/>
        <w:gridCol w:w="850"/>
        <w:gridCol w:w="1838"/>
        <w:gridCol w:w="1281"/>
        <w:gridCol w:w="1420"/>
      </w:tblGrid>
      <w:tr>
        <w:tblPrEx/>
        <w:trPr>
          <w:trHeight w:val="315"/>
        </w:trPr>
        <w:tc>
          <w:tcPr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№ п/п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6"/>
            <w:shd w:val="clear" w:color="ffffff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5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контрагента (ИНН, вид деятельности)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8"/>
            <w:shd w:val="clear" w:color="ffffff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36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Информация о цепочке собственников, включая бенефициаров (в том числе конечных)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575"/>
        </w:trPr>
        <w:tc>
          <w:tcPr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ОГРН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краткое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Код ОКВЭД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Фамилия, Имя, Отчество руководителя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Серия и номер документа удостоверяющего личность руководителя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№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ОГРН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/ ФИО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Адрес регистрации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Серия и номер документа удостоверяющего личность руководителя (для физических лиц)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Руководитель/участник/бенефициар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Информация о подтверждающих документов (наименование, номера и тд)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bfbfb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2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4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5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6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7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8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9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10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11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12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14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15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contextualSpacing/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1. Претендент гарантирует Организатору (Продавцу), что сведения и документы в отношении всей цепочки собственников и руководителей, включая бенефициаров (в том числе конечных), передаваемые Организатору (Продавцу) являются полными, точными и достоверными.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contextualSpacing/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2. Претендент настоящим выдает согласие и подтверждает получение им всех требуемых в соответствии с действующим законодательством РФ (в том числе о коммерческой тайне и о персональных д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анных) согласий всех упомянутых в сведениях, заинтересованных или причастных к сведениям лиц на обработку, а также на раскрытие Организатором (Продавцом) полностью или частично предоставленных сведений компетентным органам государственной власти (в том чис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ле, но, не ограничиваясь, Федеральной налоговой службе РФ, Минэнерго России, Росфинмониторингу, Правительству РФ) и последующую обработку сведений такими органами (далее - Раскрытие). Претендент настоящим освобождает Организатора (Продавцом) от любой ответ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ственности в связи с Раскрытием, в том числе возмещает Организатору (Продавцу) убытки, понесенные в связи с предъявлением Организатору (Продавцу) претензий, исков и требований любыми третьими лицами, чьи права были или могли быть нарушены таким Раскрытием.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right"/>
        <w:tabs>
          <w:tab w:val="center" w:pos="4677" w:leader="none"/>
          <w:tab w:val="right" w:pos="9355" w:leader="none"/>
        </w:tabs>
        <w:rPr>
          <w:rFonts w:hint="eastAsia"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b/>
          <w:lang w:val="ru-RU" w:eastAsia="en-US"/>
        </w:rPr>
        <w:t xml:space="preserve">Подпись уполномоченного лица организации</w:t>
      </w:r>
      <w:r>
        <w:rPr>
          <w:rFonts w:hint="eastAsia" w:ascii="Liberation Serif" w:hAnsi="Liberation Serif" w:cs="Liberation Serif"/>
          <w:b/>
        </w:rPr>
      </w:r>
      <w:r>
        <w:rPr>
          <w:rFonts w:hint="eastAsia" w:ascii="Liberation Serif" w:hAnsi="Liberation Serif" w:cs="Liberation Serif"/>
          <w:b/>
        </w:rPr>
      </w:r>
    </w:p>
    <w:p>
      <w:pPr>
        <w:jc w:val="right"/>
        <w:spacing w:before="120"/>
        <w:tabs>
          <w:tab w:val="center" w:pos="4677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lang w:val="ru-RU" w:eastAsia="en-US"/>
        </w:rPr>
        <w:t xml:space="preserve">печать организации</w:t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  <w:sectPr>
          <w:headerReference w:type="first" r:id="rId10"/>
          <w:footnotePr/>
          <w:endnotePr/>
          <w:type w:val="nextPage"/>
          <w:pgSz w:w="16838" w:h="11906" w:orient="landscape"/>
          <w:pgMar w:top="1418" w:right="851" w:bottom="709" w:left="284" w:header="709" w:footer="720" w:gutter="0"/>
          <w:cols w:num="1" w:sep="0" w:space="720" w:equalWidth="1"/>
          <w:docGrid w:linePitch="360"/>
          <w:titlePg/>
        </w:sect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4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к извещению о продаже Имущества путем проведения Запроса цен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1440"/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ind w:left="1440"/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tabs>
          <w:tab w:val="left" w:pos="4536" w:leader="none"/>
          <w:tab w:val="left" w:pos="7371" w:leader="none"/>
        </w:tabs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80"/>
        <w:gridCol w:w="5799"/>
      </w:tblGrid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keepLines/>
              <w:rPr>
                <w:rFonts w:hint="eastAsia" w:ascii="Liberation Serif" w:hAnsi="Liberation Serif" w:cs="Liberation Serif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lang w:val="ru-RU" w:eastAsia="ru-RU"/>
              </w:rPr>
              <w:t xml:space="preserve">ФОРМА СОГЛАСИЯ НА ОБРАБОТКУ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lang w:val="ru-RU" w:eastAsia="ru-RU"/>
              </w:rPr>
              <w:br/>
              <w:t xml:space="preserve">ПЕРСОНАЛЬНЫХ ДАННЫХ </w:t>
            </w:r>
            <w:r>
              <w:rPr>
                <w:rFonts w:hint="eastAsia" w:ascii="Liberation Serif" w:hAnsi="Liberation Serif" w:cs="Liberation Serif"/>
                <w:b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right"/>
              <w:keepLines/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jc w:val="right"/>
              <w:keepLines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Дата: ___________ 20__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(фамилия, имя, отчество),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(адрес регистрации или фактический адрес проживания (если отличается))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(серия и номер основного документа, удостоверяющего личность)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выданный 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(выдавший орган, код подразделения и дата выдачи)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600" w:right="1"/>
              <w:jc w:val="both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(далее – «</w:t>
            </w:r>
            <w:r>
              <w:rPr>
                <w:rFonts w:ascii="Liberation Serif" w:hAnsi="Liberation Serif" w:eastAsia="Liberation Serif" w:cs="Liberation Serif"/>
                <w:b/>
                <w:lang w:val="ru-RU" w:eastAsia="en-US"/>
              </w:rPr>
              <w:t xml:space="preserve">Субъект персональных данных»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), настоящим дает свое согласие 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br/>
              <w:t xml:space="preserve">АО «Томскэнергосбыт» (</w:t>
            </w:r>
            <w:r>
              <w:rPr>
                <w:rFonts w:ascii="Liberation Serif" w:hAnsi="Liberation Serif" w:eastAsia="Liberation Serif" w:cs="Liberation Serif"/>
                <w:b/>
                <w:lang w:val="ru-RU" w:eastAsia="en-US"/>
              </w:rPr>
              <w:t xml:space="preserve">далее – «Оператор»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), зарегистрированному по адресу 634034, Россия, То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мская область, г. Томск, ул. Котовского, 19, на обработку своих персональных данных в соответствии с Федеральным законом от 27.07.2006 № 152-ФЗ «О персональных данных» и иными применимыми положениями законодательства Российской Федерации как описано ниже. 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обработку указанных ниже персональных данных: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фамилия, имя, отчество;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идентификационный номер налогоплательщика;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паспортные данные или данные иного документа, удостоверяющего личность (серия и номер, наименование органа, выдавшего документ, дата выдачи и код подразделения);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адрес места жительства или временной регистрации;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размер доли участия в уставном капитале хозяйственных обществ – если предоставляются данные в отношении доли участия в уставном капитале акционерного общества;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en-GB" w:eastAsia="en-US"/>
              </w:rPr>
              <w:t xml:space="preserve">далее – 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lang w:val="en-GB" w:eastAsia="en-US"/>
              </w:rPr>
              <w:t xml:space="preserve">Персональные данные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color w:val="000000"/>
                <w:lang w:val="en-GB" w:eastAsia="en-US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обработку своих Персональных данных для 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обеспечения прозрачности финансово-хозяйственной деятельности, в том числе исключения случаев конфликта интересов и иных злоупотреблений, связанных с занимаемой должностью</w:t>
            </w:r>
            <w:r>
              <w:rPr>
                <w:rFonts w:ascii="Liberation Serif" w:hAnsi="Liberation Serif" w:eastAsia="Liberation Serif" w:cs="Liberation Serif"/>
                <w:smallCaps/>
                <w:color w:val="000000"/>
                <w:lang w:val="ru-RU" w:eastAsia="en-US"/>
              </w:rPr>
              <w:t xml:space="preserve">.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осуществление следующих действий с его/ ее Персональными данными: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Обработка Персональных данных, включающая в том числе, без ограничения: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Передача (включая предоставление и доступ) третьим лицам Персональных данных в объеме, установленном настоящим документом, в том числе следующим лицам: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3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Общество с ограниченной ответственностью «Интер РАО – Информационные технологии», зарегистрированное по адресу: 119435, г. Москва, ул. Большая Пироговская, д. 27, стр. 3;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3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Публичное акционерное общество «Интер РАО ЕЭС», зарегистрированное по адресу: 119435, г. Москва, ул. Большая Пироговская, д. 27, стр. 2;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 целью, указанной в разделе 3 выше.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Предоставление третьим лицам полномочий на обработку Персональных данных в объеме, установленном настоящим документом, в том числе следующим лицам: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4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Общество с ограниченной ответственностью «Интер РАО – Центр управления закупками», зарегистрированное по адресу: 119435, г. Москва, ул. Большая Пироговская, д. 27, стр. 3;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GB"/>
              </w:rPr>
              <w:t xml:space="preserve">с целью, указанной в разделе 3 выше.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Снятие копий, хранение копий документов, содержащих Персональные данные, предъявленных Субъектом персональных данных Оператору.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smallCaps/>
                <w:color w:val="000000"/>
                <w:lang w:val="ru-RU" w:eastAsia="en-US"/>
              </w:rPr>
              <w:t xml:space="preserve">Общее описание способов обработки персональных данных, которые использует Оператор</w:t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601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GB"/>
              </w:rPr>
              <w:t xml:space="preserve">Оператор осуществляет обработку Персональных данных смешанным способом, с использованием средств автоматизации и без использования средств автоматизации, используя методы обработки информации, которые обеспечивают безопасность Персональных данных.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smallCaps/>
                <w:color w:val="000000"/>
                <w:lang w:val="ru-RU" w:eastAsia="en-US"/>
              </w:rPr>
              <w:t xml:space="preserve">Срок действия, процедура отзыва согласия</w:t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Оператор имеет право на обработку Персональных данных Субъекта персональных данных в течение 1 (одного) года.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понимает и соглашается, что обработка Персональных данных на условиях настоящего согласия не ущемляет его/ ее в правах и иначе не нарушает его/ ее права согласно законодательству Российской Федерации.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то он уведомлен о том, что такое согласие может быть в любой момент отозвано на основании запроса, отправленного на имя Оператора, и Оператор обязан в таком случае прекратить обработку Персональных данных, если иного не требует применимое законодательство.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что он уведомлен о том, что в случае о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тзыва настоящего согласия Оператор имеет право продолжать обработку Персональных данных Субъекта персональных данных при выполнении условий, предусмотренных ч. 2 ст. 9 Федерального закона «О персональных данных», в течение сроков, предусмотренных законом.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3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что он ознакомился с условиями защиты персональных данных, правами и обязанностями в сфере защиты персональных данных.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35" w:type="pct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5" w:type="pct"/>
            <w:textDirection w:val="lrTb"/>
            <w:noWrap w:val="false"/>
          </w:tcPr>
          <w:p>
            <w:pPr>
              <w:jc w:val="right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jc w:val="right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(личная подпись Субъекта персональных данных)</w:t>
            </w:r>
            <w:r>
              <w:rPr>
                <w:rFonts w:hint="eastAsia" w:ascii="Liberation Serif" w:hAnsi="Liberation Serif" w:cs="Liberation Serif"/>
                <w:color w:val="00000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vertAlign w:val="superscript"/>
              </w:rPr>
            </w:r>
          </w:p>
        </w:tc>
      </w:tr>
    </w:tbl>
    <w:p>
      <w:r/>
      <w:r/>
    </w:p>
    <w:sectPr>
      <w:headerReference w:type="first" r:id="rId11"/>
      <w:footnotePr/>
      <w:endnotePr/>
      <w:type w:val="nextPage"/>
      <w:pgSz w:w="11906" w:h="16838" w:orient="portrait"/>
      <w:pgMar w:top="851" w:right="709" w:bottom="284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Microsoft YaHei">
    <w:panose1 w:val="020B0503020203020204"/>
  </w:font>
  <w:font w:name="Courier New">
    <w:panose1 w:val="02070309020205020404"/>
  </w:font>
  <w:font w:name="Mangal">
    <w:panose1 w:val="02040503050406030204"/>
  </w:font>
  <w:font w:name="lucida grande">
    <w:panose1 w:val="02000603000000000000"/>
  </w:font>
  <w:font w:name="Arial">
    <w:panose1 w:val="020B0604020202020204"/>
  </w:font>
  <w:font w:name="MS Mincho">
    <w:panose1 w:val="02020503050405090304"/>
  </w:font>
  <w:font w:name="Cambria">
    <w:panose1 w:val="0204050305040603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2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5" w:default="1">
    <w:name w:val="Normal"/>
    <w:qFormat/>
    <w:rPr>
      <w:rFonts w:ascii="Cambria" w:hAnsi="Cambria" w:eastAsia="MS Mincho"/>
      <w:sz w:val="24"/>
      <w:szCs w:val="24"/>
      <w:lang w:val="en-US" w:eastAsia="ar-SA"/>
    </w:rPr>
  </w:style>
  <w:style w:type="paragraph" w:styleId="896">
    <w:name w:val="Heading 1"/>
    <w:basedOn w:val="895"/>
    <w:next w:val="895"/>
    <w:link w:val="9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97">
    <w:name w:val="Heading 2"/>
    <w:basedOn w:val="895"/>
    <w:next w:val="895"/>
    <w:link w:val="9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98">
    <w:name w:val="Heading 3"/>
    <w:basedOn w:val="895"/>
    <w:next w:val="895"/>
    <w:link w:val="9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99">
    <w:name w:val="Heading 4"/>
    <w:basedOn w:val="895"/>
    <w:next w:val="895"/>
    <w:link w:val="9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895"/>
    <w:next w:val="895"/>
    <w:link w:val="9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01">
    <w:name w:val="Heading 6"/>
    <w:basedOn w:val="895"/>
    <w:next w:val="895"/>
    <w:link w:val="9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2">
    <w:name w:val="Heading 7"/>
    <w:basedOn w:val="895"/>
    <w:next w:val="895"/>
    <w:link w:val="9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3">
    <w:name w:val="Heading 8"/>
    <w:basedOn w:val="895"/>
    <w:next w:val="895"/>
    <w:link w:val="9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4">
    <w:name w:val="Heading 9"/>
    <w:basedOn w:val="895"/>
    <w:next w:val="895"/>
    <w:link w:val="9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character" w:styleId="908" w:customStyle="1">
    <w:name w:val="Caption Char"/>
    <w:uiPriority w:val="99"/>
  </w:style>
  <w:style w:type="character" w:styleId="909" w:customStyle="1">
    <w:name w:val="Heading 1 Char"/>
    <w:basedOn w:val="905"/>
    <w:uiPriority w:val="9"/>
    <w:rPr>
      <w:rFonts w:ascii="Arial" w:hAnsi="Arial" w:eastAsia="Arial" w:cs="Arial"/>
      <w:sz w:val="40"/>
      <w:szCs w:val="40"/>
    </w:rPr>
  </w:style>
  <w:style w:type="character" w:styleId="910" w:customStyle="1">
    <w:name w:val="Heading 2 Char"/>
    <w:basedOn w:val="905"/>
    <w:uiPriority w:val="9"/>
    <w:rPr>
      <w:rFonts w:ascii="Arial" w:hAnsi="Arial" w:eastAsia="Arial" w:cs="Arial"/>
      <w:sz w:val="34"/>
    </w:rPr>
  </w:style>
  <w:style w:type="character" w:styleId="911" w:customStyle="1">
    <w:name w:val="Heading 3 Char"/>
    <w:basedOn w:val="905"/>
    <w:uiPriority w:val="9"/>
    <w:rPr>
      <w:rFonts w:ascii="Arial" w:hAnsi="Arial" w:eastAsia="Arial" w:cs="Arial"/>
      <w:sz w:val="30"/>
      <w:szCs w:val="30"/>
    </w:rPr>
  </w:style>
  <w:style w:type="character" w:styleId="912" w:customStyle="1">
    <w:name w:val="Heading 4 Char"/>
    <w:basedOn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913" w:customStyle="1">
    <w:name w:val="Heading 5 Char"/>
    <w:basedOn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914" w:customStyle="1">
    <w:name w:val="Heading 6 Char"/>
    <w:basedOn w:val="905"/>
    <w:uiPriority w:val="9"/>
    <w:rPr>
      <w:rFonts w:ascii="Arial" w:hAnsi="Arial" w:eastAsia="Arial" w:cs="Arial"/>
      <w:b/>
      <w:bCs/>
      <w:sz w:val="22"/>
      <w:szCs w:val="22"/>
    </w:rPr>
  </w:style>
  <w:style w:type="character" w:styleId="915" w:customStyle="1">
    <w:name w:val="Heading 7 Char"/>
    <w:basedOn w:val="9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6" w:customStyle="1">
    <w:name w:val="Heading 8 Char"/>
    <w:basedOn w:val="905"/>
    <w:uiPriority w:val="9"/>
    <w:rPr>
      <w:rFonts w:ascii="Arial" w:hAnsi="Arial" w:eastAsia="Arial" w:cs="Arial"/>
      <w:i/>
      <w:iCs/>
      <w:sz w:val="22"/>
      <w:szCs w:val="22"/>
    </w:rPr>
  </w:style>
  <w:style w:type="character" w:styleId="917" w:customStyle="1">
    <w:name w:val="Heading 9 Char"/>
    <w:basedOn w:val="905"/>
    <w:uiPriority w:val="9"/>
    <w:rPr>
      <w:rFonts w:ascii="Arial" w:hAnsi="Arial" w:eastAsia="Arial" w:cs="Arial"/>
      <w:i/>
      <w:iCs/>
      <w:sz w:val="21"/>
      <w:szCs w:val="21"/>
    </w:rPr>
  </w:style>
  <w:style w:type="character" w:styleId="918" w:customStyle="1">
    <w:name w:val="Title Char"/>
    <w:basedOn w:val="905"/>
    <w:uiPriority w:val="10"/>
    <w:rPr>
      <w:sz w:val="48"/>
      <w:szCs w:val="48"/>
    </w:rPr>
  </w:style>
  <w:style w:type="character" w:styleId="919" w:customStyle="1">
    <w:name w:val="Subtitle Char"/>
    <w:basedOn w:val="905"/>
    <w:uiPriority w:val="11"/>
    <w:rPr>
      <w:sz w:val="24"/>
      <w:szCs w:val="24"/>
    </w:rPr>
  </w:style>
  <w:style w:type="character" w:styleId="920" w:customStyle="1">
    <w:name w:val="Quote Char"/>
    <w:uiPriority w:val="29"/>
    <w:rPr>
      <w:i/>
    </w:rPr>
  </w:style>
  <w:style w:type="character" w:styleId="921" w:customStyle="1">
    <w:name w:val="Intense Quote Char"/>
    <w:uiPriority w:val="30"/>
    <w:rPr>
      <w:i/>
    </w:rPr>
  </w:style>
  <w:style w:type="character" w:styleId="922" w:customStyle="1">
    <w:name w:val="Header Char"/>
    <w:basedOn w:val="905"/>
    <w:uiPriority w:val="99"/>
  </w:style>
  <w:style w:type="character" w:styleId="923" w:customStyle="1">
    <w:name w:val="Название объекта Знак"/>
    <w:link w:val="946"/>
    <w:uiPriority w:val="99"/>
  </w:style>
  <w:style w:type="character" w:styleId="924" w:customStyle="1">
    <w:name w:val="Footnote Text Char"/>
    <w:uiPriority w:val="99"/>
    <w:rPr>
      <w:sz w:val="18"/>
    </w:rPr>
  </w:style>
  <w:style w:type="character" w:styleId="925" w:customStyle="1">
    <w:name w:val="Endnote Text Char"/>
    <w:uiPriority w:val="99"/>
    <w:rPr>
      <w:sz w:val="20"/>
    </w:rPr>
  </w:style>
  <w:style w:type="character" w:styleId="926" w:customStyle="1">
    <w:name w:val="Заголовок 1 Знак"/>
    <w:basedOn w:val="905"/>
    <w:link w:val="896"/>
    <w:uiPriority w:val="9"/>
    <w:rPr>
      <w:rFonts w:ascii="Arial" w:hAnsi="Arial" w:eastAsia="Arial" w:cs="Arial"/>
      <w:sz w:val="40"/>
      <w:szCs w:val="40"/>
    </w:rPr>
  </w:style>
  <w:style w:type="character" w:styleId="927" w:customStyle="1">
    <w:name w:val="Заголовок 2 Знак"/>
    <w:basedOn w:val="905"/>
    <w:link w:val="897"/>
    <w:uiPriority w:val="9"/>
    <w:rPr>
      <w:rFonts w:ascii="Arial" w:hAnsi="Arial" w:eastAsia="Arial" w:cs="Arial"/>
      <w:sz w:val="34"/>
    </w:rPr>
  </w:style>
  <w:style w:type="character" w:styleId="928" w:customStyle="1">
    <w:name w:val="Заголовок 3 Знак"/>
    <w:basedOn w:val="905"/>
    <w:link w:val="898"/>
    <w:uiPriority w:val="9"/>
    <w:rPr>
      <w:rFonts w:ascii="Arial" w:hAnsi="Arial" w:eastAsia="Arial" w:cs="Arial"/>
      <w:sz w:val="30"/>
      <w:szCs w:val="30"/>
    </w:rPr>
  </w:style>
  <w:style w:type="character" w:styleId="929" w:customStyle="1">
    <w:name w:val="Заголовок 4 Знак"/>
    <w:basedOn w:val="905"/>
    <w:link w:val="899"/>
    <w:uiPriority w:val="9"/>
    <w:rPr>
      <w:rFonts w:ascii="Arial" w:hAnsi="Arial" w:eastAsia="Arial" w:cs="Arial"/>
      <w:b/>
      <w:bCs/>
      <w:sz w:val="26"/>
      <w:szCs w:val="26"/>
    </w:rPr>
  </w:style>
  <w:style w:type="character" w:styleId="930" w:customStyle="1">
    <w:name w:val="Заголовок 5 Знак"/>
    <w:basedOn w:val="905"/>
    <w:link w:val="900"/>
    <w:uiPriority w:val="9"/>
    <w:rPr>
      <w:rFonts w:ascii="Arial" w:hAnsi="Arial" w:eastAsia="Arial" w:cs="Arial"/>
      <w:b/>
      <w:bCs/>
      <w:sz w:val="24"/>
      <w:szCs w:val="24"/>
    </w:rPr>
  </w:style>
  <w:style w:type="character" w:styleId="931" w:customStyle="1">
    <w:name w:val="Заголовок 6 Знак"/>
    <w:basedOn w:val="905"/>
    <w:link w:val="901"/>
    <w:uiPriority w:val="9"/>
    <w:rPr>
      <w:rFonts w:ascii="Arial" w:hAnsi="Arial" w:eastAsia="Arial" w:cs="Arial"/>
      <w:b/>
      <w:bCs/>
      <w:sz w:val="22"/>
      <w:szCs w:val="22"/>
    </w:rPr>
  </w:style>
  <w:style w:type="character" w:styleId="932" w:customStyle="1">
    <w:name w:val="Заголовок 7 Знак"/>
    <w:basedOn w:val="905"/>
    <w:link w:val="9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3" w:customStyle="1">
    <w:name w:val="Заголовок 8 Знак"/>
    <w:basedOn w:val="905"/>
    <w:link w:val="903"/>
    <w:uiPriority w:val="9"/>
    <w:rPr>
      <w:rFonts w:ascii="Arial" w:hAnsi="Arial" w:eastAsia="Arial" w:cs="Arial"/>
      <w:i/>
      <w:iCs/>
      <w:sz w:val="22"/>
      <w:szCs w:val="22"/>
    </w:rPr>
  </w:style>
  <w:style w:type="character" w:styleId="934" w:customStyle="1">
    <w:name w:val="Заголовок 9 Знак"/>
    <w:basedOn w:val="905"/>
    <w:link w:val="904"/>
    <w:uiPriority w:val="9"/>
    <w:rPr>
      <w:rFonts w:ascii="Arial" w:hAnsi="Arial" w:eastAsia="Arial" w:cs="Arial"/>
      <w:i/>
      <w:iCs/>
      <w:sz w:val="21"/>
      <w:szCs w:val="21"/>
    </w:rPr>
  </w:style>
  <w:style w:type="paragraph" w:styleId="935">
    <w:name w:val="No Spacing"/>
    <w:uiPriority w:val="1"/>
    <w:qFormat/>
  </w:style>
  <w:style w:type="paragraph" w:styleId="936">
    <w:name w:val="Title"/>
    <w:basedOn w:val="895"/>
    <w:next w:val="895"/>
    <w:link w:val="9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7" w:customStyle="1">
    <w:name w:val="Название Знак"/>
    <w:basedOn w:val="905"/>
    <w:link w:val="936"/>
    <w:uiPriority w:val="10"/>
    <w:rPr>
      <w:sz w:val="48"/>
      <w:szCs w:val="48"/>
    </w:rPr>
  </w:style>
  <w:style w:type="paragraph" w:styleId="938">
    <w:name w:val="Subtitle"/>
    <w:basedOn w:val="895"/>
    <w:next w:val="895"/>
    <w:link w:val="939"/>
    <w:uiPriority w:val="11"/>
    <w:qFormat/>
    <w:pPr>
      <w:spacing w:before="200" w:after="200"/>
    </w:pPr>
  </w:style>
  <w:style w:type="character" w:styleId="939" w:customStyle="1">
    <w:name w:val="Подзаголовок Знак"/>
    <w:basedOn w:val="905"/>
    <w:link w:val="938"/>
    <w:uiPriority w:val="11"/>
    <w:rPr>
      <w:sz w:val="24"/>
      <w:szCs w:val="24"/>
    </w:rPr>
  </w:style>
  <w:style w:type="paragraph" w:styleId="940">
    <w:name w:val="Quote"/>
    <w:basedOn w:val="895"/>
    <w:next w:val="895"/>
    <w:link w:val="941"/>
    <w:uiPriority w:val="29"/>
    <w:qFormat/>
    <w:pPr>
      <w:ind w:left="720" w:right="720"/>
    </w:pPr>
    <w:rPr>
      <w:i/>
    </w:rPr>
  </w:style>
  <w:style w:type="character" w:styleId="941" w:customStyle="1">
    <w:name w:val="Цитата 2 Знак"/>
    <w:link w:val="940"/>
    <w:uiPriority w:val="29"/>
    <w:rPr>
      <w:i/>
    </w:rPr>
  </w:style>
  <w:style w:type="paragraph" w:styleId="942">
    <w:name w:val="Intense Quote"/>
    <w:basedOn w:val="895"/>
    <w:next w:val="895"/>
    <w:link w:val="9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3" w:customStyle="1">
    <w:name w:val="Выделенная цитата Знак"/>
    <w:link w:val="942"/>
    <w:uiPriority w:val="30"/>
    <w:rPr>
      <w:i/>
    </w:rPr>
  </w:style>
  <w:style w:type="character" w:styleId="944" w:customStyle="1">
    <w:name w:val="Верхний колонтитул Знак1"/>
    <w:basedOn w:val="905"/>
    <w:link w:val="1119"/>
    <w:uiPriority w:val="99"/>
  </w:style>
  <w:style w:type="character" w:styleId="945" w:customStyle="1">
    <w:name w:val="Footer Char"/>
    <w:basedOn w:val="905"/>
    <w:uiPriority w:val="99"/>
  </w:style>
  <w:style w:type="paragraph" w:styleId="946">
    <w:name w:val="Caption"/>
    <w:basedOn w:val="895"/>
    <w:next w:val="895"/>
    <w:link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7" w:customStyle="1">
    <w:name w:val="Нижний колонтитул Знак1"/>
    <w:link w:val="1118"/>
    <w:uiPriority w:val="99"/>
  </w:style>
  <w:style w:type="table" w:styleId="948">
    <w:name w:val="Table Grid"/>
    <w:basedOn w:val="90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Table Grid Light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50">
    <w:name w:val="Plain Table 1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1">
    <w:name w:val="Plain Table 2"/>
    <w:basedOn w:val="90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2">
    <w:name w:val="Plain Table 3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3">
    <w:name w:val="Plain Table 4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Plain Table 5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5">
    <w:name w:val="Grid Table 1 Light"/>
    <w:basedOn w:val="90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Grid Table 1 Light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Grid Table 1 Light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Grid Table 1 Light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Grid Table 1 Light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2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2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2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2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2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Grid Table 3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3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3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3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4"/>
    <w:basedOn w:val="90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7" w:customStyle="1">
    <w:name w:val="Grid Table 4 - Accent 1"/>
    <w:basedOn w:val="90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8" w:customStyle="1">
    <w:name w:val="Grid Table 4 - Accent 2"/>
    <w:basedOn w:val="90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9" w:customStyle="1">
    <w:name w:val="Grid Table 4 - Accent 3"/>
    <w:basedOn w:val="90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80" w:customStyle="1">
    <w:name w:val="Grid Table 4 - Accent 4"/>
    <w:basedOn w:val="90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81" w:customStyle="1">
    <w:name w:val="Grid Table 4 - Accent 5"/>
    <w:basedOn w:val="90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82" w:customStyle="1">
    <w:name w:val="Grid Table 4 - Accent 6"/>
    <w:basedOn w:val="90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83">
    <w:name w:val="Grid Table 5 Dark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- Accent 1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 - Accent 2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6" w:customStyle="1">
    <w:name w:val="Grid Table 5 Dark - Accent 3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7" w:customStyle="1">
    <w:name w:val="Grid Table 5 Dark- Accent 4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8" w:customStyle="1">
    <w:name w:val="Grid Table 5 Dark - Accent 5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9" w:customStyle="1">
    <w:name w:val="Grid Table 5 Dark - Accent 6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90">
    <w:name w:val="Grid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91" w:customStyle="1">
    <w:name w:val="Grid Table 6 Colorful - Accent 1"/>
    <w:basedOn w:val="90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92" w:customStyle="1">
    <w:name w:val="Grid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93" w:customStyle="1">
    <w:name w:val="Grid Table 6 Colorful - Accent 3"/>
    <w:basedOn w:val="90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4" w:customStyle="1">
    <w:name w:val="Grid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5" w:customStyle="1">
    <w:name w:val="Grid Table 6 Colorful - Accent 5"/>
    <w:basedOn w:val="90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6" w:customStyle="1">
    <w:name w:val="Grid Table 6 Colorful - Accent 6"/>
    <w:basedOn w:val="90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7">
    <w:name w:val="Grid Table 7 Colorful"/>
    <w:basedOn w:val="90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1"/>
    <w:basedOn w:val="90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7 Colorful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7 Colorful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Grid Table 7 Colorful - Accent 5"/>
    <w:basedOn w:val="90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7 Colorful - Accent 6"/>
    <w:basedOn w:val="90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"/>
    <w:basedOn w:val="90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1"/>
    <w:basedOn w:val="90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2"/>
    <w:basedOn w:val="90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List Table 1 Light - Accent 3"/>
    <w:basedOn w:val="90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List Table 1 Light - Accent 4"/>
    <w:basedOn w:val="90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 w:customStyle="1">
    <w:name w:val="List Table 1 Light - Accent 5"/>
    <w:basedOn w:val="90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List Table 1 Light - Accent 6"/>
    <w:basedOn w:val="90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2"/>
    <w:basedOn w:val="90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4" w:customStyle="1">
    <w:name w:val="List Table 2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5" w:customStyle="1">
    <w:name w:val="List Table 2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6" w:customStyle="1">
    <w:name w:val="List Table 2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7" w:customStyle="1">
    <w:name w:val="List Table 2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8">
    <w:name w:val="List Table 3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List Table 3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3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List Table 3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3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List Table 4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4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List Table 4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List Table 4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5 Dark"/>
    <w:basedOn w:val="90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1"/>
    <w:basedOn w:val="90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List Table 5 Dark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6" w:customStyle="1">
    <w:name w:val="List Table 5 Dark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7" w:customStyle="1">
    <w:name w:val="List Table 5 Dark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8" w:customStyle="1">
    <w:name w:val="List Table 5 Dark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9">
    <w:name w:val="List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40" w:customStyle="1">
    <w:name w:val="List Table 6 Colorful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41" w:customStyle="1">
    <w:name w:val="List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2" w:customStyle="1">
    <w:name w:val="List Table 6 Colorful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43" w:customStyle="1">
    <w:name w:val="List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4" w:customStyle="1">
    <w:name w:val="List Table 6 Colorful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5" w:customStyle="1">
    <w:name w:val="List Table 6 Colorful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6">
    <w:name w:val="List Table 7 Colorful"/>
    <w:basedOn w:val="90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1"/>
    <w:basedOn w:val="90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2"/>
    <w:basedOn w:val="90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7 Colorful - Accent 3"/>
    <w:basedOn w:val="90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7 Colorful - Accent 4"/>
    <w:basedOn w:val="90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List Table 7 Colorful - Accent 5"/>
    <w:basedOn w:val="90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List Table 7 Colorful - Accent 6"/>
    <w:basedOn w:val="90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Lined - Accent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4" w:customStyle="1">
    <w:name w:val="Lined - Accent 1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5" w:customStyle="1">
    <w:name w:val="Lined - Accent 2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6" w:customStyle="1">
    <w:name w:val="Lined - Accent 3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7" w:customStyle="1">
    <w:name w:val="Lined - Accent 4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8" w:customStyle="1">
    <w:name w:val="Lined - Accent 5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9" w:customStyle="1">
    <w:name w:val="Lined - Accent 6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0" w:customStyle="1">
    <w:name w:val="Bordered &amp; Lined - Accent"/>
    <w:basedOn w:val="90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61" w:customStyle="1">
    <w:name w:val="Bordered &amp; Lined - Accent 1"/>
    <w:basedOn w:val="90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62" w:customStyle="1">
    <w:name w:val="Bordered &amp; Lined - Accent 2"/>
    <w:basedOn w:val="90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63" w:customStyle="1">
    <w:name w:val="Bordered &amp; Lined - Accent 3"/>
    <w:basedOn w:val="90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4" w:customStyle="1">
    <w:name w:val="Bordered &amp; Lined - Accent 4"/>
    <w:basedOn w:val="90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5" w:customStyle="1">
    <w:name w:val="Bordered &amp; Lined - Accent 5"/>
    <w:basedOn w:val="90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6" w:customStyle="1">
    <w:name w:val="Bordered &amp; Lined - Accent 6"/>
    <w:basedOn w:val="90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7" w:customStyle="1">
    <w:name w:val="Bordered"/>
    <w:basedOn w:val="90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8" w:customStyle="1">
    <w:name w:val="Bordered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9" w:customStyle="1">
    <w:name w:val="Bordered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70" w:customStyle="1">
    <w:name w:val="Bordered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71" w:customStyle="1">
    <w:name w:val="Bordered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72" w:customStyle="1">
    <w:name w:val="Bordered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73" w:customStyle="1">
    <w:name w:val="Bordered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74">
    <w:name w:val="Hyperlink"/>
    <w:uiPriority w:val="99"/>
    <w:unhideWhenUsed/>
    <w:rPr>
      <w:color w:val="0000ff" w:themeColor="hyperlink"/>
      <w:u w:val="single"/>
    </w:rPr>
  </w:style>
  <w:style w:type="paragraph" w:styleId="1075">
    <w:name w:val="footnote text"/>
    <w:basedOn w:val="895"/>
    <w:link w:val="1076"/>
    <w:uiPriority w:val="99"/>
    <w:semiHidden/>
    <w:unhideWhenUsed/>
    <w:pPr>
      <w:spacing w:after="40"/>
    </w:pPr>
    <w:rPr>
      <w:sz w:val="18"/>
    </w:rPr>
  </w:style>
  <w:style w:type="character" w:styleId="1076" w:customStyle="1">
    <w:name w:val="Текст сноски Знак"/>
    <w:link w:val="1075"/>
    <w:uiPriority w:val="99"/>
    <w:rPr>
      <w:sz w:val="18"/>
    </w:rPr>
  </w:style>
  <w:style w:type="character" w:styleId="1077">
    <w:name w:val="footnote reference"/>
    <w:basedOn w:val="905"/>
    <w:uiPriority w:val="99"/>
    <w:unhideWhenUsed/>
    <w:rPr>
      <w:vertAlign w:val="superscript"/>
    </w:rPr>
  </w:style>
  <w:style w:type="paragraph" w:styleId="1078">
    <w:name w:val="endnote text"/>
    <w:basedOn w:val="895"/>
    <w:link w:val="1079"/>
    <w:uiPriority w:val="99"/>
    <w:semiHidden/>
    <w:unhideWhenUsed/>
    <w:rPr>
      <w:sz w:val="20"/>
    </w:rPr>
  </w:style>
  <w:style w:type="character" w:styleId="1079" w:customStyle="1">
    <w:name w:val="Текст концевой сноски Знак"/>
    <w:link w:val="1078"/>
    <w:uiPriority w:val="99"/>
    <w:rPr>
      <w:sz w:val="20"/>
    </w:rPr>
  </w:style>
  <w:style w:type="character" w:styleId="1080">
    <w:name w:val="endnote reference"/>
    <w:basedOn w:val="905"/>
    <w:uiPriority w:val="99"/>
    <w:semiHidden/>
    <w:unhideWhenUsed/>
    <w:rPr>
      <w:vertAlign w:val="superscript"/>
    </w:rPr>
  </w:style>
  <w:style w:type="paragraph" w:styleId="1081">
    <w:name w:val="toc 1"/>
    <w:basedOn w:val="895"/>
    <w:next w:val="895"/>
    <w:uiPriority w:val="39"/>
    <w:unhideWhenUsed/>
    <w:pPr>
      <w:spacing w:after="57"/>
    </w:pPr>
  </w:style>
  <w:style w:type="paragraph" w:styleId="1082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083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084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085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086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087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088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089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090">
    <w:name w:val="TOC Heading"/>
    <w:uiPriority w:val="39"/>
    <w:unhideWhenUsed/>
  </w:style>
  <w:style w:type="paragraph" w:styleId="1091">
    <w:name w:val="table of figures"/>
    <w:basedOn w:val="895"/>
    <w:next w:val="895"/>
    <w:uiPriority w:val="99"/>
    <w:unhideWhenUsed/>
  </w:style>
  <w:style w:type="character" w:styleId="1092" w:customStyle="1">
    <w:name w:val="WW8Num1z0"/>
  </w:style>
  <w:style w:type="character" w:styleId="1093" w:customStyle="1">
    <w:name w:val="WW8Num1z1"/>
  </w:style>
  <w:style w:type="character" w:styleId="1094" w:customStyle="1">
    <w:name w:val="WW8Num1z2"/>
  </w:style>
  <w:style w:type="character" w:styleId="1095" w:customStyle="1">
    <w:name w:val="WW8Num1z3"/>
  </w:style>
  <w:style w:type="character" w:styleId="1096" w:customStyle="1">
    <w:name w:val="WW8Num1z4"/>
  </w:style>
  <w:style w:type="character" w:styleId="1097" w:customStyle="1">
    <w:name w:val="WW8Num1z5"/>
  </w:style>
  <w:style w:type="character" w:styleId="1098" w:customStyle="1">
    <w:name w:val="WW8Num1z6"/>
  </w:style>
  <w:style w:type="character" w:styleId="1099" w:customStyle="1">
    <w:name w:val="WW8Num1z7"/>
  </w:style>
  <w:style w:type="character" w:styleId="1100" w:customStyle="1">
    <w:name w:val="WW8Num1z8"/>
  </w:style>
  <w:style w:type="character" w:styleId="1101" w:customStyle="1">
    <w:name w:val="Основной шрифт"/>
  </w:style>
  <w:style w:type="character" w:styleId="1102" w:customStyle="1">
    <w:name w:val="Z-конец формы Знак"/>
    <w:rPr>
      <w:rFonts w:ascii="Arial" w:hAnsi="Arial" w:cs="Arial"/>
      <w:vanish/>
      <w:sz w:val="16"/>
      <w:szCs w:val="16"/>
    </w:rPr>
  </w:style>
  <w:style w:type="character" w:styleId="1103" w:customStyle="1">
    <w:name w:val="Z-начало формы Знак"/>
    <w:rPr>
      <w:rFonts w:ascii="Arial" w:hAnsi="Arial" w:cs="Arial"/>
      <w:vanish/>
      <w:sz w:val="16"/>
      <w:szCs w:val="16"/>
    </w:rPr>
  </w:style>
  <w:style w:type="character" w:styleId="1104">
    <w:name w:val="Placeholder Text"/>
    <w:rPr>
      <w:color w:val="808080"/>
    </w:rPr>
  </w:style>
  <w:style w:type="character" w:styleId="1105" w:customStyle="1">
    <w:name w:val="Текст выноски Знак"/>
    <w:rPr>
      <w:rFonts w:ascii="lucida grande" w:hAnsi="lucida grande" w:cs="lucida grande"/>
      <w:sz w:val="18"/>
      <w:szCs w:val="18"/>
    </w:rPr>
  </w:style>
  <w:style w:type="character" w:styleId="1106" w:customStyle="1">
    <w:name w:val="Нижний колонтитул Знак"/>
    <w:basedOn w:val="1101"/>
  </w:style>
  <w:style w:type="character" w:styleId="1107">
    <w:name w:val="page number"/>
  </w:style>
  <w:style w:type="character" w:styleId="1108" w:customStyle="1">
    <w:name w:val="Верхний колонтитул Знак"/>
    <w:rPr>
      <w:sz w:val="24"/>
      <w:szCs w:val="24"/>
      <w:lang w:val="en-US"/>
    </w:rPr>
  </w:style>
  <w:style w:type="paragraph" w:styleId="1109" w:customStyle="1">
    <w:name w:val="Заголовок1"/>
    <w:basedOn w:val="895"/>
    <w:next w:val="11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110">
    <w:name w:val="Body Text"/>
    <w:basedOn w:val="895"/>
    <w:pPr>
      <w:spacing w:after="120"/>
    </w:pPr>
  </w:style>
  <w:style w:type="paragraph" w:styleId="1111">
    <w:name w:val="List"/>
    <w:basedOn w:val="1110"/>
    <w:rPr>
      <w:rFonts w:cs="Mangal"/>
    </w:rPr>
  </w:style>
  <w:style w:type="paragraph" w:styleId="1112" w:customStyle="1">
    <w:name w:val="Название1"/>
    <w:basedOn w:val="895"/>
    <w:pPr>
      <w:spacing w:before="120" w:after="120"/>
      <w:suppressLineNumbers/>
    </w:pPr>
    <w:rPr>
      <w:rFonts w:cs="Mangal"/>
      <w:i/>
      <w:iCs/>
    </w:rPr>
  </w:style>
  <w:style w:type="paragraph" w:styleId="1113" w:customStyle="1">
    <w:name w:val="Указатель1"/>
    <w:basedOn w:val="895"/>
    <w:pPr>
      <w:suppressLineNumbers/>
    </w:pPr>
    <w:rPr>
      <w:rFonts w:cs="Mangal"/>
    </w:rPr>
  </w:style>
  <w:style w:type="paragraph" w:styleId="1114">
    <w:name w:val="List Paragraph"/>
    <w:basedOn w:val="895"/>
    <w:qFormat/>
    <w:pPr>
      <w:ind w:left="720"/>
    </w:pPr>
  </w:style>
  <w:style w:type="paragraph" w:styleId="1115" w:customStyle="1">
    <w:name w:val="Z-конец формы"/>
    <w:basedOn w:val="895"/>
    <w:next w:val="895"/>
    <w:pPr>
      <w:jc w:val="center"/>
      <w:pBdr>
        <w:top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6" w:customStyle="1">
    <w:name w:val="Z-начало формы"/>
    <w:basedOn w:val="895"/>
    <w:next w:val="895"/>
    <w:pPr>
      <w:jc w:val="center"/>
      <w:pBdr>
        <w:bottom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7">
    <w:name w:val="Balloon Text"/>
    <w:basedOn w:val="895"/>
    <w:rPr>
      <w:rFonts w:ascii="lucida grande" w:hAnsi="lucida grande" w:cs="lucida grande"/>
      <w:sz w:val="18"/>
      <w:szCs w:val="18"/>
    </w:rPr>
  </w:style>
  <w:style w:type="paragraph" w:styleId="1118">
    <w:name w:val="Footer"/>
    <w:basedOn w:val="895"/>
    <w:link w:val="947"/>
    <w:pPr>
      <w:tabs>
        <w:tab w:val="center" w:pos="4844" w:leader="none"/>
        <w:tab w:val="right" w:pos="9689" w:leader="none"/>
      </w:tabs>
    </w:pPr>
  </w:style>
  <w:style w:type="paragraph" w:styleId="1119">
    <w:name w:val="Header"/>
    <w:basedOn w:val="895"/>
    <w:link w:val="944"/>
    <w:pPr>
      <w:tabs>
        <w:tab w:val="center" w:pos="4677" w:leader="none"/>
        <w:tab w:val="right" w:pos="9355" w:leader="none"/>
      </w:tabs>
    </w:pPr>
  </w:style>
  <w:style w:type="paragraph" w:styleId="1120" w:customStyle="1">
    <w:name w:val="Содержимое врезки"/>
    <w:basedOn w:val="1110"/>
  </w:style>
  <w:style w:type="paragraph" w:styleId="1121">
    <w:name w:val="List Number"/>
    <w:basedOn w:val="895"/>
    <w:uiPriority w:val="99"/>
    <w:semiHidden/>
    <w:unhideWhenUsed/>
    <w:pPr>
      <w:numPr>
        <w:ilvl w:val="0"/>
        <w:numId w:val="9"/>
      </w:numPr>
      <w:contextualSpacing/>
    </w:pPr>
  </w:style>
  <w:style w:type="paragraph" w:styleId="1122">
    <w:name w:val="Revision"/>
    <w:hidden/>
    <w:uiPriority w:val="99"/>
    <w:semiHidden/>
    <w:rPr>
      <w:rFonts w:ascii="Cambria" w:hAnsi="Cambria" w:eastAsia="MS Mincho"/>
      <w:sz w:val="24"/>
      <w:szCs w:val="24"/>
      <w:lang w:val="en-US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mailto:hotline@interra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ECA1-C912-4431-82EB-8F433575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Master</dc:creator>
  <cp:lastModifiedBy>krasilnikova_ea</cp:lastModifiedBy>
  <cp:revision>9</cp:revision>
  <dcterms:created xsi:type="dcterms:W3CDTF">2026-06-05T02:19:00Z</dcterms:created>
  <dcterms:modified xsi:type="dcterms:W3CDTF">2026-07-07T01:40:10Z</dcterms:modified>
</cp:coreProperties>
</file>