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45"/>
        <w:ind w:firstLine="0"/>
        <w:jc w:val="right"/>
        <w:widowControl w:val="off"/>
        <w:rPr>
          <w:szCs w:val="28"/>
        </w:rPr>
      </w:pPr>
      <w:r>
        <w:rPr>
          <w:szCs w:val="28"/>
        </w:rPr>
        <w:t xml:space="preserve">Вариант 1</w:t>
      </w:r>
      <w:r>
        <w:rPr>
          <w:szCs w:val="28"/>
        </w:rPr>
      </w:r>
      <w:r>
        <w:rPr>
          <w:szCs w:val="28"/>
        </w:rPr>
      </w:r>
    </w:p>
    <w:p>
      <w:pPr>
        <w:pStyle w:val="945"/>
        <w:ind w:firstLine="0"/>
        <w:jc w:val="center"/>
        <w:widowControl w:val="off"/>
        <w:rPr>
          <w:rFonts w:eastAsia="Times"/>
          <w:spacing w:val="-4"/>
          <w:szCs w:val="28"/>
        </w:rPr>
      </w:pPr>
      <w:r>
        <w:rPr>
          <w:rFonts w:eastAsia="Times"/>
          <w:spacing w:val="-4"/>
          <w:szCs w:val="28"/>
        </w:rPr>
      </w:r>
      <w:r>
        <w:rPr>
          <w:rFonts w:eastAsia="Times"/>
          <w:spacing w:val="-4"/>
          <w:szCs w:val="28"/>
        </w:rPr>
      </w:r>
      <w:r>
        <w:rPr>
          <w:rFonts w:eastAsia="Times"/>
          <w:spacing w:val="-4"/>
          <w:szCs w:val="28"/>
        </w:rPr>
      </w:r>
    </w:p>
    <w:p>
      <w:pPr>
        <w:pStyle w:val="945"/>
        <w:ind w:firstLine="0"/>
        <w:jc w:val="center"/>
        <w:widowControl w:val="off"/>
        <w:rPr>
          <w:rFonts w:eastAsia="Times"/>
          <w:b/>
          <w:spacing w:val="-4"/>
          <w:szCs w:val="28"/>
        </w:rPr>
      </w:pPr>
      <w:r>
        <w:rPr>
          <w:rFonts w:eastAsia="Times"/>
          <w:b/>
          <w:spacing w:val="-4"/>
          <w:szCs w:val="28"/>
        </w:rPr>
        <w:t xml:space="preserve">Типовое техническое решение по организации коммерческого учета электроэнергии в многоквартирных жилых домах-новостройках с использованием самоорганизующейся </w:t>
      </w:r>
      <w:r>
        <w:rPr>
          <w:rFonts w:eastAsia="Times"/>
          <w:b/>
          <w:spacing w:val="-4"/>
          <w:szCs w:val="28"/>
          <w:lang w:val="en-US"/>
        </w:rPr>
        <w:t xml:space="preserve">ZigBee</w:t>
      </w:r>
      <w:r>
        <w:rPr>
          <w:rFonts w:eastAsia="Times"/>
          <w:b/>
          <w:spacing w:val="-4"/>
          <w:szCs w:val="28"/>
        </w:rPr>
        <w:t xml:space="preserve"> сети и беспроводного (</w:t>
      </w:r>
      <w:r>
        <w:rPr>
          <w:rFonts w:eastAsia="Times"/>
          <w:b/>
          <w:spacing w:val="-4"/>
          <w:szCs w:val="28"/>
          <w:lang w:val="en-US"/>
        </w:rPr>
        <w:t xml:space="preserve">GPRS</w:t>
      </w:r>
      <w:r>
        <w:rPr>
          <w:rFonts w:eastAsia="Times"/>
          <w:b/>
          <w:spacing w:val="-4"/>
          <w:szCs w:val="28"/>
        </w:rPr>
        <w:t xml:space="preserve">) канала связи</w:t>
      </w:r>
      <w:r>
        <w:rPr>
          <w:rFonts w:eastAsia="Times"/>
          <w:b/>
          <w:spacing w:val="-4"/>
          <w:szCs w:val="28"/>
        </w:rPr>
      </w:r>
      <w:r>
        <w:rPr>
          <w:rFonts w:eastAsia="Times"/>
          <w:b/>
          <w:spacing w:val="-4"/>
          <w:szCs w:val="28"/>
        </w:rPr>
      </w:r>
    </w:p>
    <w:p>
      <w:pPr>
        <w:pStyle w:val="945"/>
        <w:ind w:firstLine="0"/>
        <w:jc w:val="center"/>
        <w:widowControl w:val="off"/>
        <w:rPr>
          <w:b/>
          <w:szCs w:val="28"/>
        </w:rPr>
      </w:pPr>
      <w:r>
        <w:rPr>
          <w:b/>
          <w:szCs w:val="28"/>
        </w:rPr>
      </w:r>
      <w:r>
        <w:rPr>
          <w:b/>
          <w:szCs w:val="28"/>
        </w:rPr>
      </w:r>
      <w:r>
        <w:rPr>
          <w:b/>
          <w:szCs w:val="28"/>
        </w:rPr>
      </w:r>
    </w:p>
    <w:p>
      <w:pPr>
        <w:ind w:right="43"/>
        <w:jc w:val="both"/>
        <w:widowControl w:val="off"/>
      </w:pPr>
      <w:r/>
      <w:bookmarkStart w:id="0" w:name="_GoBack"/>
      <w:r/>
      <w:bookmarkEnd w:id="0"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143625" cy="5114925"/>
                <wp:effectExtent l="0" t="0" r="9525" b="9525"/>
                <wp:docPr id="1" name="Рисунок 239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143625" cy="511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83.75pt;height:402.75pt;mso-wrap-distance-left:0.00pt;mso-wrap-distance-top:0.00pt;mso-wrap-distance-right:0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/>
    </w:p>
    <w:p>
      <w:pPr>
        <w:ind w:right="43" w:firstLine="720"/>
        <w:jc w:val="both"/>
        <w:widowControl w:val="off"/>
      </w:pPr>
      <w:r>
        <w:t xml:space="preserve">Оснащенные беспроводными </w:t>
      </w:r>
      <w:r>
        <w:rPr>
          <w:lang w:val="en-US"/>
        </w:rPr>
        <w:t xml:space="preserve">ZigBee</w:t>
      </w:r>
      <w:r>
        <w:t xml:space="preserve"> модулями приборы учета электроэнергии включаются в самоорганизующуюся сеть обмена данными, в которой каждый беспроводной модуль является ретранслятором, осуществляющим передачу информационных пакетов на ZigBee/GPRS шлюз.</w:t>
      </w:r>
      <w:r/>
    </w:p>
    <w:p>
      <w:pPr>
        <w:ind w:firstLine="720"/>
        <w:jc w:val="both"/>
        <w:widowControl w:val="off"/>
      </w:pPr>
      <w:r>
        <w:t xml:space="preserve">Информационный обмен с интеллектуальной системой учета гарантирующего поставщика осуществляется по беспроводному (</w:t>
      </w:r>
      <w:r>
        <w:rPr>
          <w:lang w:val="en-US"/>
        </w:rPr>
        <w:t xml:space="preserve">GPRS</w:t>
      </w:r>
      <w:r>
        <w:t xml:space="preserve">) каналу связи.</w:t>
      </w:r>
      <w:r/>
    </w:p>
    <w:p>
      <w:pPr>
        <w:jc w:val="both"/>
        <w:widowControl w:val="off"/>
      </w:pPr>
      <w:r>
        <w:tab/>
        <w:t xml:space="preserve">Дополнительные требования:</w:t>
      </w:r>
      <w:r/>
    </w:p>
    <w:p>
      <w:pPr>
        <w:numPr>
          <w:ilvl w:val="0"/>
          <w:numId w:val="21"/>
        </w:numPr>
        <w:jc w:val="both"/>
        <w:widowControl w:val="off"/>
        <w:rPr>
          <w:b/>
          <w:sz w:val="24"/>
          <w:szCs w:val="28"/>
        </w:rPr>
      </w:pPr>
      <w:r>
        <w:t xml:space="preserve">т</w:t>
      </w:r>
      <w:r>
        <w:t xml:space="preserve">ак как технология </w:t>
      </w:r>
      <w:r>
        <w:t xml:space="preserve">ZigBee</w:t>
      </w:r>
      <w:r>
        <w:t xml:space="preserve"> обеспечивает информационный обме</w:t>
      </w:r>
      <w:r>
        <w:t xml:space="preserve">н на рассто</w:t>
      </w:r>
      <w:r>
        <w:t xml:space="preserve">яниях до 10 м в закрытых помещениях (многоквартирный дом с железобетонными плитами и кирпичными стенами), то данное техническое решение может быть использовано при условии оборудовании всех приборов учета модулями связи </w:t>
      </w:r>
      <w:r>
        <w:t xml:space="preserve">ZigBee и</w:t>
      </w:r>
      <w:r>
        <w:t xml:space="preserve"> при необходимости оборудованием дополнительной ретрансляции (например, между подъездами многоквартирного жилого дома) </w:t>
      </w:r>
      <w:r>
        <w:t xml:space="preserve">устанавливаются </w:t>
      </w:r>
      <w:r>
        <w:t xml:space="preserve">ZigBee</w:t>
      </w:r>
      <w:r>
        <w:t xml:space="preserve"> роутеры</w:t>
      </w:r>
      <w:r/>
      <w:r/>
      <w:r>
        <w:t xml:space="preserve">;</w:t>
      </w:r>
      <w:r>
        <w:rPr>
          <w:b/>
          <w:sz w:val="24"/>
          <w:szCs w:val="28"/>
        </w:rPr>
      </w:r>
      <w:r>
        <w:rPr>
          <w:b/>
          <w:sz w:val="24"/>
          <w:szCs w:val="28"/>
        </w:rPr>
      </w:r>
    </w:p>
    <w:p>
      <w:pPr>
        <w:numPr>
          <w:ilvl w:val="0"/>
          <w:numId w:val="21"/>
        </w:numPr>
        <w:jc w:val="both"/>
      </w:pPr>
      <w:r>
        <w:t xml:space="preserve">количество ZigBee/GPRS шлюзов и роутеров определяется с учетом осуществления ретрансляции, а также обеспечения передачи всех требуемых результатов измерений с установленной Техническими условиями периодичностью;</w:t>
      </w:r>
      <w:r/>
    </w:p>
    <w:p>
      <w:pPr>
        <w:numPr>
          <w:ilvl w:val="0"/>
          <w:numId w:val="21"/>
        </w:numPr>
        <w:jc w:val="both"/>
        <w:widowControl w:val="off"/>
        <w:rPr>
          <w:szCs w:val="28"/>
        </w:rPr>
      </w:pPr>
      <w:r>
        <w:rPr>
          <w:szCs w:val="28"/>
        </w:rPr>
        <w:t xml:space="preserve">шлюз должен быть установлен в закрытом шкафу, оснащенном датчиком вскрытия дверей шкафа. При этом, события вскрытия дверей шкафа должны сохраняться в энергонезависимой памяти;</w:t>
      </w:r>
      <w:r>
        <w:rPr>
          <w:szCs w:val="28"/>
        </w:rPr>
      </w:r>
      <w:r>
        <w:rPr>
          <w:szCs w:val="28"/>
        </w:rPr>
      </w:r>
    </w:p>
    <w:p>
      <w:pPr>
        <w:numPr>
          <w:ilvl w:val="0"/>
          <w:numId w:val="21"/>
        </w:numPr>
        <w:jc w:val="both"/>
      </w:pPr>
      <w:r>
        <w:t xml:space="preserve">в точках размещения антенн ZigBee/GPRS шлюзов должен быть обеспечен требуемый для устойчивого информационного обмена уровень сигнала </w:t>
      </w:r>
      <w:r>
        <w:t xml:space="preserve">ZigBee и </w:t>
      </w:r>
      <w:r>
        <w:t xml:space="preserve">сотовой связи;</w:t>
      </w:r>
      <w:r/>
    </w:p>
    <w:p>
      <w:pPr>
        <w:numPr>
          <w:ilvl w:val="0"/>
          <w:numId w:val="21"/>
        </w:numPr>
        <w:jc w:val="both"/>
      </w:pPr>
      <w:r>
        <w:t xml:space="preserve">в шлюзе должен быть обеспечен резервный канал GSM связи с установкой второй </w:t>
      </w:r>
      <w:r>
        <w:rPr>
          <w:lang w:val="en-US"/>
        </w:rPr>
        <w:t xml:space="preserve">SIM</w:t>
      </w:r>
      <w:r>
        <w:t xml:space="preserve">-карты (или </w:t>
      </w:r>
      <w:r>
        <w:rPr>
          <w:lang w:val="en-US"/>
        </w:rPr>
        <w:t xml:space="preserve">SIM</w:t>
      </w:r>
      <w:r>
        <w:t xml:space="preserve">-чипа) и переключения на резервный канал при потере соединения по основному каналу;</w:t>
      </w:r>
      <w:r/>
    </w:p>
    <w:p>
      <w:pPr>
        <w:numPr>
          <w:ilvl w:val="0"/>
          <w:numId w:val="21"/>
        </w:numPr>
        <w:jc w:val="both"/>
      </w:pPr>
      <w:r>
        <w:t xml:space="preserve">для совместимости с програ</w:t>
      </w:r>
      <w:r>
        <w:t xml:space="preserve">ммным обеспечением центра сбора данных интеллектуальной системы учета </w:t>
      </w:r>
      <w:r>
        <w:t xml:space="preserve">АО «Томскэнергосбыт»</w:t>
      </w:r>
      <w:r>
        <w:t xml:space="preserve"> использовать приборы учета и ZigBee/GPRS шлюзы, поддерживающие Протокол Интеллектуальных Распределенных Систем (ПИРС) – ПАО «Интер РАО»;</w:t>
      </w:r>
      <w:r/>
    </w:p>
    <w:p>
      <w:pPr>
        <w:numPr>
          <w:ilvl w:val="0"/>
          <w:numId w:val="21"/>
        </w:numPr>
        <w:jc w:val="both"/>
        <w:widowControl w:val="off"/>
      </w:pPr>
      <w:r>
        <w:t xml:space="preserve">проект организации учета требует согласования с АО «Томскэнергосбыт». </w:t>
      </w:r>
      <w:r/>
    </w:p>
    <w:sectPr>
      <w:headerReference w:type="even" r:id="rId9"/>
      <w:footerReference w:type="default" r:id="rId10"/>
      <w:footerReference w:type="first" r:id="rId11"/>
      <w:footnotePr/>
      <w:endnotePr/>
      <w:type w:val="nextPage"/>
      <w:pgSz w:w="11899" w:h="16838" w:orient="portrait"/>
      <w:pgMar w:top="1134" w:right="1126" w:bottom="1134" w:left="1134" w:header="709" w:footer="624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Times">
    <w:panose1 w:val="02000603000000000000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6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PAGE   \* MERGEFORMAT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 xml:space="preserve">2</w:t>
    </w:r>
    <w:r>
      <w:rPr>
        <w:sz w:val="24"/>
        <w:szCs w:val="24"/>
      </w:rPr>
      <w:fldChar w:fldCharType="end"/>
    </w:r>
    <w:r>
      <w:rPr>
        <w:sz w:val="24"/>
        <w:szCs w:val="24"/>
      </w:rPr>
    </w:r>
    <w:r>
      <w:rPr>
        <w:sz w:val="24"/>
        <w:szCs w:val="24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6"/>
      <w:jc w:val="center"/>
    </w:pPr>
    <w:r/>
    <w:r/>
  </w:p>
  <w:p>
    <w:pPr>
      <w:pStyle w:val="79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4"/>
      <w:rPr>
        <w:rStyle w:val="944"/>
      </w:rPr>
      <w:framePr w:wrap="around" w:vAnchor="text" w:hAnchor="margin" w:xAlign="center" w:y="1"/>
    </w:pPr>
    <w:r>
      <w:rPr>
        <w:rStyle w:val="944"/>
      </w:rPr>
      <w:fldChar w:fldCharType="begin"/>
    </w:r>
    <w:r>
      <w:rPr>
        <w:rStyle w:val="944"/>
      </w:rPr>
      <w:instrText xml:space="preserve">PAGE  </w:instrText>
    </w:r>
    <w:r>
      <w:rPr>
        <w:rStyle w:val="944"/>
      </w:rPr>
      <w:fldChar w:fldCharType="separate"/>
    </w:r>
    <w:r>
      <w:rPr>
        <w:rStyle w:val="944"/>
      </w:rPr>
      <w:t xml:space="preserve">4</w:t>
    </w:r>
    <w:r>
      <w:rPr>
        <w:rStyle w:val="944"/>
      </w:rPr>
      <w:fldChar w:fldCharType="end"/>
    </w:r>
    <w:r>
      <w:rPr>
        <w:rStyle w:val="944"/>
      </w:rPr>
    </w:r>
    <w:r>
      <w:rPr>
        <w:rStyle w:val="944"/>
      </w:rPr>
    </w:r>
  </w:p>
  <w:p>
    <w:pPr>
      <w:pStyle w:val="79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  <w:tabs>
          <w:tab w:val="num" w:pos="144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  <w:tabs>
          <w:tab w:val="num" w:pos="216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  <w:tabs>
          <w:tab w:val="num" w:pos="288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  <w:tabs>
          <w:tab w:val="num" w:pos="360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  <w:tabs>
          <w:tab w:val="num" w:pos="432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  <w:tabs>
          <w:tab w:val="num" w:pos="576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  <w:tabs>
          <w:tab w:val="num" w:pos="648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  <w:tabs>
          <w:tab w:val="num" w:pos="720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b w:val="0"/>
        <w:i w:val="0"/>
        <w:sz w:val="28"/>
        <w:u w:val="none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40" w:hanging="540"/>
        <w:tabs>
          <w:tab w:val="num" w:pos="54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571" w:hanging="720"/>
        <w:tabs>
          <w:tab w:val="num" w:pos="1571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160" w:hanging="72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40" w:hanging="1080"/>
        <w:tabs>
          <w:tab w:val="num" w:pos="324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60" w:hanging="1080"/>
        <w:tabs>
          <w:tab w:val="num" w:pos="396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  <w:tabs>
          <w:tab w:val="num" w:pos="61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684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  <w:tabs>
          <w:tab w:val="num" w:pos="792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bullet"/>
      <w:isLgl w:val="false"/>
      <w:suff w:val="tab"/>
      <w:lvlText w:val=""/>
      <w:lvlJc w:val="left"/>
      <w:pPr>
        <w:ind w:left="792" w:hanging="432"/>
      </w:pPr>
      <w:rPr>
        <w:rFonts w:ascii="Symbol" w:hAnsi="Symbol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5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260" w:hanging="540"/>
        <w:tabs>
          <w:tab w:val="num" w:pos="12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291" w:hanging="720"/>
        <w:tabs>
          <w:tab w:val="num" w:pos="2291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880" w:hanging="720"/>
        <w:tabs>
          <w:tab w:val="num" w:pos="28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960" w:hanging="1080"/>
        <w:tabs>
          <w:tab w:val="num" w:pos="39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4680" w:hanging="1080"/>
        <w:tabs>
          <w:tab w:val="num" w:pos="46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5760" w:hanging="1440"/>
        <w:tabs>
          <w:tab w:val="num" w:pos="576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840" w:hanging="1800"/>
        <w:tabs>
          <w:tab w:val="num" w:pos="684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7560" w:hanging="1800"/>
        <w:tabs>
          <w:tab w:val="num" w:pos="756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8640" w:hanging="2160"/>
        <w:tabs>
          <w:tab w:val="num" w:pos="8640" w:leader="none"/>
        </w:tabs>
      </w:pPr>
    </w:lvl>
  </w:abstractNum>
  <w:abstractNum w:abstractNumId="6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6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7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ind w:left="375" w:hanging="375"/>
      </w:pPr>
    </w:lvl>
    <w:lvl w:ilvl="1">
      <w:start w:val="4"/>
      <w:numFmt w:val="decimal"/>
      <w:isLgl w:val="false"/>
      <w:suff w:val="tab"/>
      <w:lvlText w:val="%1.%2"/>
      <w:lvlJc w:val="left"/>
      <w:pPr>
        <w:ind w:left="1112" w:hanging="375"/>
      </w:pPr>
    </w:lvl>
    <w:lvl w:ilvl="2">
      <w:start w:val="1"/>
      <w:numFmt w:val="decimal"/>
      <w:isLgl w:val="false"/>
      <w:suff w:val="tab"/>
      <w:lvlText w:val="%1.%2.%3"/>
      <w:lvlJc w:val="left"/>
      <w:pPr>
        <w:ind w:left="2194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3291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4028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5125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5862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6959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8056" w:hanging="216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1440"/>
        <w:tabs>
          <w:tab w:val="num" w:pos="144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2110" w:hanging="1440"/>
        <w:tabs>
          <w:tab w:val="num" w:pos="211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780" w:hanging="1440"/>
        <w:tabs>
          <w:tab w:val="num" w:pos="278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450" w:hanging="1440"/>
        <w:tabs>
          <w:tab w:val="num" w:pos="345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4120" w:hanging="1440"/>
        <w:tabs>
          <w:tab w:val="num" w:pos="41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790" w:hanging="1440"/>
        <w:tabs>
          <w:tab w:val="num" w:pos="479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820" w:hanging="1800"/>
        <w:tabs>
          <w:tab w:val="num" w:pos="58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90" w:hanging="1800"/>
        <w:tabs>
          <w:tab w:val="num" w:pos="649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520" w:hanging="2160"/>
        <w:tabs>
          <w:tab w:val="num" w:pos="7520" w:leader="none"/>
        </w:tabs>
      </w:pPr>
    </w:lvl>
  </w:abstractNum>
  <w:abstractNum w:abstractNumId="9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ind w:left="375" w:hanging="375"/>
      </w:pPr>
    </w:lvl>
    <w:lvl w:ilvl="1">
      <w:start w:val="3"/>
      <w:numFmt w:val="decimal"/>
      <w:isLgl w:val="false"/>
      <w:suff w:val="tab"/>
      <w:lvlText w:val="%1.%2"/>
      <w:lvlJc w:val="left"/>
      <w:pPr>
        <w:ind w:left="1112" w:hanging="375"/>
      </w:pPr>
    </w:lvl>
    <w:lvl w:ilvl="2">
      <w:start w:val="1"/>
      <w:numFmt w:val="decimal"/>
      <w:isLgl w:val="false"/>
      <w:suff w:val="tab"/>
      <w:lvlText w:val="%1.%2.%3"/>
      <w:lvlJc w:val="left"/>
      <w:pPr>
        <w:ind w:left="2194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3291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4028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5125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5862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6959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8056" w:hanging="216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bullet"/>
      <w:isLgl w:val="false"/>
      <w:suff w:val="tab"/>
      <w:lvlText w:val=""/>
      <w:lvlJc w:val="left"/>
      <w:pPr>
        <w:ind w:left="792" w:hanging="432"/>
      </w:pPr>
      <w:rPr>
        <w:rFonts w:ascii="Symbol" w:hAnsi="Symbol"/>
      </w:rPr>
    </w:lvl>
    <w:lvl w:ilvl="2">
      <w:start w:val="1"/>
      <w:numFmt w:val="bullet"/>
      <w:isLgl w:val="false"/>
      <w:suff w:val="tab"/>
      <w:lvlText w:val="o"/>
      <w:lvlJc w:val="left"/>
      <w:pPr>
        <w:ind w:left="1224" w:hanging="504"/>
      </w:pPr>
      <w:rPr>
        <w:rFonts w:ascii="Courier New" w:hAnsi="Courier New" w:cs="Courier New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bullet"/>
      <w:isLgl w:val="false"/>
      <w:suff w:val="tab"/>
      <w:lvlText w:val=""/>
      <w:lvlJc w:val="left"/>
      <w:pPr>
        <w:ind w:left="715" w:hanging="432"/>
      </w:pPr>
      <w:rPr>
        <w:rFonts w:ascii="Symbol" w:hAnsi="Symbol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2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ind w:left="375" w:hanging="375"/>
      </w:pPr>
    </w:lvl>
    <w:lvl w:ilvl="1">
      <w:start w:val="2"/>
      <w:numFmt w:val="decimal"/>
      <w:isLgl w:val="false"/>
      <w:suff w:val="tab"/>
      <w:lvlText w:val="%1.%2"/>
      <w:lvlJc w:val="left"/>
      <w:pPr>
        <w:ind w:left="1112" w:hanging="375"/>
      </w:pPr>
    </w:lvl>
    <w:lvl w:ilvl="2">
      <w:start w:val="1"/>
      <w:numFmt w:val="decimal"/>
      <w:isLgl w:val="false"/>
      <w:suff w:val="tab"/>
      <w:lvlText w:val="%1.%2.%3"/>
      <w:lvlJc w:val="left"/>
      <w:pPr>
        <w:ind w:left="2194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3291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4028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5125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5862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6959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8056" w:hanging="216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bullet"/>
      <w:isLgl w:val="false"/>
      <w:suff w:val="tab"/>
      <w:lvlText w:val=""/>
      <w:lvlJc w:val="left"/>
      <w:pPr>
        <w:ind w:left="792" w:hanging="432"/>
      </w:pPr>
      <w:rPr>
        <w:rFonts w:ascii="Symbol" w:hAnsi="Symbol"/>
      </w:rPr>
    </w:lvl>
    <w:lvl w:ilvl="2">
      <w:start w:val="1"/>
      <w:numFmt w:val="bullet"/>
      <w:isLgl w:val="false"/>
      <w:suff w:val="tab"/>
      <w:lvlText w:val=""/>
      <w:lvlJc w:val="left"/>
      <w:pPr>
        <w:ind w:left="1224" w:hanging="504"/>
      </w:pPr>
      <w:rPr>
        <w:rFonts w:ascii="Symbol" w:hAnsi="Symbol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212" w:hanging="360"/>
        <w:tabs>
          <w:tab w:val="num" w:pos="1212" w:leader="none"/>
        </w:tabs>
      </w:pPr>
      <w:rPr>
        <w:rFonts w:ascii="Times New Roman" w:hAnsi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792" w:leader="none"/>
        </w:tabs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  <w:rPr>
        <w:strike w:val="0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</w:lvl>
  </w:abstractNum>
  <w:abstractNum w:abstractNumId="15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644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</w:lvl>
  </w:abstractNum>
  <w:abstractNum w:abstractNumId="16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675" w:hanging="675"/>
      </w:pPr>
      <w:rPr>
        <w:b w:val="0"/>
      </w:rPr>
    </w:lvl>
    <w:lvl w:ilvl="1">
      <w:start w:val="3"/>
      <w:numFmt w:val="decimal"/>
      <w:isLgl w:val="false"/>
      <w:suff w:val="tab"/>
      <w:lvlText w:val="%1.%2."/>
      <w:lvlJc w:val="left"/>
      <w:pPr>
        <w:ind w:left="1003" w:hanging="720"/>
      </w:pPr>
      <w:rPr>
        <w:b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55" w:hanging="720"/>
      </w:pPr>
      <w:rPr>
        <w:b w:val="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929" w:hanging="1080"/>
      </w:pPr>
      <w:rPr>
        <w:b w:val="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12" w:hanging="1080"/>
      </w:pPr>
      <w:rPr>
        <w:b w:val="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55" w:hanging="1440"/>
      </w:pPr>
      <w:rPr>
        <w:b w:val="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498" w:hanging="1800"/>
      </w:pPr>
      <w:rPr>
        <w:b w:val="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81" w:hanging="1800"/>
      </w:pPr>
      <w:rPr>
        <w:b w:val="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424" w:hanging="2160"/>
      </w:pPr>
      <w:rPr>
        <w:b w:val="0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14"/>
  </w:num>
  <w:num w:numId="5">
    <w:abstractNumId w:val="3"/>
  </w:num>
  <w:num w:numId="6">
    <w:abstractNumId w:val="5"/>
  </w:num>
  <w:num w:numId="7">
    <w:abstractNumId w:val="16"/>
  </w:num>
  <w:num w:numId="8">
    <w:abstractNumId w:val="4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11"/>
  </w:num>
  <w:num w:numId="12">
    <w:abstractNumId w:val="4"/>
  </w:num>
  <w:num w:numId="13">
    <w:abstractNumId w:val="17"/>
  </w:num>
  <w:num w:numId="14">
    <w:abstractNumId w:val="12"/>
  </w:num>
  <w:num w:numId="15">
    <w:abstractNumId w:val="9"/>
  </w:num>
  <w:num w:numId="16">
    <w:abstractNumId w:val="7"/>
  </w:num>
  <w:num w:numId="17">
    <w:abstractNumId w:val="15"/>
  </w:num>
  <w:num w:numId="18">
    <w:abstractNumId w:val="6"/>
  </w:num>
  <w:num w:numId="19">
    <w:abstractNumId w:val="13"/>
  </w:num>
  <w:num w:numId="20">
    <w:abstractNumId w:val="10"/>
  </w:num>
  <w:num w:numId="21">
    <w:abstractNumId w:val="1"/>
  </w:num>
  <w:num w:numId="22">
    <w:abstractNumId w:val="18"/>
  </w:num>
  <w:num w:numId="23">
    <w:abstractNumId w:val="19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 w:val="true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46">
    <w:name w:val="Heading 2 Char"/>
    <w:basedOn w:val="772"/>
    <w:link w:val="764"/>
    <w:uiPriority w:val="9"/>
    <w:rPr>
      <w:rFonts w:ascii="Liberation Sans" w:hAnsi="Liberation Sans" w:eastAsia="Liberation Sans" w:cs="Liberation Sans"/>
      <w:sz w:val="34"/>
    </w:rPr>
  </w:style>
  <w:style w:type="character" w:styleId="747">
    <w:name w:val="Heading 3 Char"/>
    <w:basedOn w:val="772"/>
    <w:link w:val="765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48">
    <w:name w:val="Heading 4 Char"/>
    <w:basedOn w:val="772"/>
    <w:link w:val="766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49">
    <w:name w:val="Heading 5 Char"/>
    <w:basedOn w:val="772"/>
    <w:link w:val="76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50">
    <w:name w:val="Heading 6 Char"/>
    <w:basedOn w:val="772"/>
    <w:link w:val="768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51">
    <w:name w:val="Heading 7 Char"/>
    <w:basedOn w:val="772"/>
    <w:link w:val="76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52">
    <w:name w:val="Heading 8 Char"/>
    <w:basedOn w:val="772"/>
    <w:link w:val="770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53">
    <w:name w:val="Heading 9 Char"/>
    <w:basedOn w:val="772"/>
    <w:link w:val="7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54">
    <w:name w:val="Title Char"/>
    <w:basedOn w:val="772"/>
    <w:link w:val="786"/>
    <w:uiPriority w:val="10"/>
    <w:rPr>
      <w:sz w:val="48"/>
      <w:szCs w:val="48"/>
    </w:rPr>
  </w:style>
  <w:style w:type="character" w:styleId="755">
    <w:name w:val="Subtitle Char"/>
    <w:basedOn w:val="772"/>
    <w:link w:val="788"/>
    <w:uiPriority w:val="11"/>
    <w:rPr>
      <w:sz w:val="24"/>
      <w:szCs w:val="24"/>
    </w:rPr>
  </w:style>
  <w:style w:type="character" w:styleId="756">
    <w:name w:val="Quote Char"/>
    <w:link w:val="790"/>
    <w:uiPriority w:val="29"/>
    <w:rPr>
      <w:i/>
    </w:rPr>
  </w:style>
  <w:style w:type="character" w:styleId="757">
    <w:name w:val="Intense Quote Char"/>
    <w:link w:val="792"/>
    <w:uiPriority w:val="30"/>
    <w:rPr>
      <w:i/>
    </w:rPr>
  </w:style>
  <w:style w:type="character" w:styleId="758">
    <w:name w:val="Header Char"/>
    <w:basedOn w:val="772"/>
    <w:link w:val="794"/>
    <w:uiPriority w:val="99"/>
  </w:style>
  <w:style w:type="character" w:styleId="759">
    <w:name w:val="Caption Char"/>
    <w:basedOn w:val="772"/>
    <w:link w:val="798"/>
    <w:uiPriority w:val="35"/>
    <w:rPr>
      <w:b/>
      <w:bCs/>
      <w:color w:val="4f81bd" w:themeColor="accent1"/>
      <w:sz w:val="18"/>
      <w:szCs w:val="18"/>
    </w:rPr>
  </w:style>
  <w:style w:type="character" w:styleId="760">
    <w:name w:val="Footnote Text Char"/>
    <w:link w:val="927"/>
    <w:uiPriority w:val="99"/>
    <w:rPr>
      <w:sz w:val="18"/>
    </w:rPr>
  </w:style>
  <w:style w:type="character" w:styleId="761">
    <w:name w:val="Endnote Text Char"/>
    <w:link w:val="930"/>
    <w:uiPriority w:val="99"/>
    <w:rPr>
      <w:sz w:val="20"/>
    </w:rPr>
  </w:style>
  <w:style w:type="paragraph" w:styleId="762" w:default="1">
    <w:name w:val="Normal"/>
    <w:qFormat/>
    <w:rPr>
      <w:bCs/>
      <w:color w:val="000000"/>
      <w:sz w:val="28"/>
      <w:lang w:eastAsia="ru-RU"/>
    </w:rPr>
  </w:style>
  <w:style w:type="paragraph" w:styleId="763">
    <w:name w:val="Heading 1"/>
    <w:basedOn w:val="762"/>
    <w:next w:val="762"/>
    <w:link w:val="951"/>
    <w:qFormat/>
    <w:pPr>
      <w:keepNext/>
      <w:outlineLvl w:val="0"/>
    </w:pPr>
    <w:rPr>
      <w:b/>
      <w:bCs w:val="0"/>
      <w:sz w:val="18"/>
    </w:rPr>
  </w:style>
  <w:style w:type="paragraph" w:styleId="764">
    <w:name w:val="Heading 2"/>
    <w:basedOn w:val="762"/>
    <w:next w:val="762"/>
    <w:link w:val="776"/>
    <w:qFormat/>
    <w:pPr>
      <w:jc w:val="both"/>
      <w:keepNext/>
      <w:outlineLvl w:val="1"/>
    </w:pPr>
    <w:rPr>
      <w:b/>
      <w:bCs w:val="0"/>
    </w:rPr>
  </w:style>
  <w:style w:type="paragraph" w:styleId="765">
    <w:name w:val="Heading 3"/>
    <w:basedOn w:val="762"/>
    <w:next w:val="762"/>
    <w:link w:val="777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766">
    <w:name w:val="Heading 4"/>
    <w:basedOn w:val="762"/>
    <w:next w:val="762"/>
    <w:link w:val="778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sz w:val="26"/>
      <w:szCs w:val="26"/>
    </w:rPr>
  </w:style>
  <w:style w:type="paragraph" w:styleId="767">
    <w:name w:val="Heading 5"/>
    <w:basedOn w:val="762"/>
    <w:next w:val="762"/>
    <w:link w:val="779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sz w:val="24"/>
      <w:szCs w:val="24"/>
    </w:rPr>
  </w:style>
  <w:style w:type="paragraph" w:styleId="768">
    <w:name w:val="Heading 6"/>
    <w:basedOn w:val="762"/>
    <w:next w:val="762"/>
    <w:link w:val="780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sz w:val="22"/>
      <w:szCs w:val="22"/>
    </w:rPr>
  </w:style>
  <w:style w:type="paragraph" w:styleId="769">
    <w:name w:val="Heading 7"/>
    <w:basedOn w:val="762"/>
    <w:next w:val="762"/>
    <w:link w:val="781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i/>
      <w:iCs/>
      <w:sz w:val="22"/>
      <w:szCs w:val="22"/>
    </w:rPr>
  </w:style>
  <w:style w:type="paragraph" w:styleId="770">
    <w:name w:val="Heading 8"/>
    <w:basedOn w:val="762"/>
    <w:next w:val="762"/>
    <w:link w:val="78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71">
    <w:name w:val="Heading 9"/>
    <w:basedOn w:val="762"/>
    <w:next w:val="762"/>
    <w:link w:val="783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72" w:default="1">
    <w:name w:val="Default Paragraph Font"/>
    <w:uiPriority w:val="1"/>
    <w:semiHidden/>
    <w:unhideWhenUsed/>
  </w:style>
  <w:style w:type="table" w:styleId="77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74" w:default="1">
    <w:name w:val="No List"/>
    <w:uiPriority w:val="99"/>
    <w:semiHidden/>
    <w:unhideWhenUsed/>
  </w:style>
  <w:style w:type="character" w:styleId="775" w:customStyle="1">
    <w:name w:val="Heading 1 Char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76" w:customStyle="1">
    <w:name w:val="Заголовок 2 Знак"/>
    <w:link w:val="764"/>
    <w:uiPriority w:val="9"/>
    <w:rPr>
      <w:rFonts w:ascii="Liberation Sans" w:hAnsi="Liberation Sans" w:eastAsia="Liberation Sans" w:cs="Liberation Sans"/>
      <w:sz w:val="34"/>
    </w:rPr>
  </w:style>
  <w:style w:type="character" w:styleId="777" w:customStyle="1">
    <w:name w:val="Заголовок 3 Знак"/>
    <w:link w:val="765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78" w:customStyle="1">
    <w:name w:val="Заголовок 4 Знак"/>
    <w:link w:val="766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79" w:customStyle="1">
    <w:name w:val="Заголовок 5 Знак"/>
    <w:link w:val="76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80" w:customStyle="1">
    <w:name w:val="Заголовок 6 Знак"/>
    <w:link w:val="768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81" w:customStyle="1">
    <w:name w:val="Заголовок 7 Знак"/>
    <w:link w:val="76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82" w:customStyle="1">
    <w:name w:val="Заголовок 8 Знак"/>
    <w:link w:val="770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83" w:customStyle="1">
    <w:name w:val="Заголовок 9 Знак"/>
    <w:link w:val="7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84">
    <w:name w:val="List Paragraph"/>
    <w:basedOn w:val="762"/>
    <w:uiPriority w:val="34"/>
    <w:qFormat/>
    <w:pPr>
      <w:contextualSpacing/>
      <w:ind w:left="720"/>
    </w:pPr>
  </w:style>
  <w:style w:type="paragraph" w:styleId="785">
    <w:name w:val="No Spacing"/>
    <w:uiPriority w:val="1"/>
    <w:qFormat/>
  </w:style>
  <w:style w:type="paragraph" w:styleId="786">
    <w:name w:val="Title"/>
    <w:basedOn w:val="762"/>
    <w:next w:val="762"/>
    <w:link w:val="78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87" w:customStyle="1">
    <w:name w:val="Заголовок Знак"/>
    <w:link w:val="786"/>
    <w:uiPriority w:val="10"/>
    <w:rPr>
      <w:sz w:val="48"/>
      <w:szCs w:val="48"/>
    </w:rPr>
  </w:style>
  <w:style w:type="paragraph" w:styleId="788">
    <w:name w:val="Subtitle"/>
    <w:basedOn w:val="762"/>
    <w:next w:val="762"/>
    <w:link w:val="789"/>
    <w:uiPriority w:val="11"/>
    <w:qFormat/>
    <w:pPr>
      <w:spacing w:before="200" w:after="200"/>
    </w:pPr>
    <w:rPr>
      <w:sz w:val="24"/>
      <w:szCs w:val="24"/>
    </w:rPr>
  </w:style>
  <w:style w:type="character" w:styleId="789" w:customStyle="1">
    <w:name w:val="Подзаголовок Знак"/>
    <w:link w:val="788"/>
    <w:uiPriority w:val="11"/>
    <w:rPr>
      <w:sz w:val="24"/>
      <w:szCs w:val="24"/>
    </w:rPr>
  </w:style>
  <w:style w:type="paragraph" w:styleId="790">
    <w:name w:val="Quote"/>
    <w:basedOn w:val="762"/>
    <w:next w:val="762"/>
    <w:link w:val="791"/>
    <w:uiPriority w:val="29"/>
    <w:qFormat/>
    <w:pPr>
      <w:ind w:left="720" w:right="720"/>
    </w:pPr>
    <w:rPr>
      <w:i/>
    </w:rPr>
  </w:style>
  <w:style w:type="character" w:styleId="791" w:customStyle="1">
    <w:name w:val="Цитата 2 Знак"/>
    <w:link w:val="790"/>
    <w:uiPriority w:val="29"/>
    <w:rPr>
      <w:i/>
    </w:rPr>
  </w:style>
  <w:style w:type="paragraph" w:styleId="792">
    <w:name w:val="Intense Quote"/>
    <w:basedOn w:val="762"/>
    <w:next w:val="762"/>
    <w:link w:val="79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3" w:customStyle="1">
    <w:name w:val="Выделенная цитата Знак"/>
    <w:link w:val="792"/>
    <w:uiPriority w:val="30"/>
    <w:rPr>
      <w:i/>
    </w:rPr>
  </w:style>
  <w:style w:type="paragraph" w:styleId="794">
    <w:name w:val="Header"/>
    <w:basedOn w:val="762"/>
    <w:link w:val="795"/>
    <w:pPr>
      <w:tabs>
        <w:tab w:val="center" w:pos="4677" w:leader="none"/>
        <w:tab w:val="right" w:pos="9355" w:leader="none"/>
      </w:tabs>
    </w:pPr>
    <w:rPr>
      <w:rFonts w:ascii="Times" w:hAnsi="Times" w:eastAsia="Times"/>
      <w:bCs w:val="0"/>
      <w:sz w:val="24"/>
      <w:lang w:val="en-US"/>
    </w:rPr>
  </w:style>
  <w:style w:type="character" w:styleId="795" w:customStyle="1">
    <w:name w:val="Верхний колонтитул Знак"/>
    <w:link w:val="794"/>
    <w:uiPriority w:val="99"/>
  </w:style>
  <w:style w:type="paragraph" w:styleId="796">
    <w:name w:val="Footer"/>
    <w:basedOn w:val="762"/>
    <w:link w:val="961"/>
    <w:uiPriority w:val="99"/>
    <w:pPr>
      <w:tabs>
        <w:tab w:val="center" w:pos="4677" w:leader="none"/>
        <w:tab w:val="right" w:pos="9355" w:leader="none"/>
      </w:tabs>
    </w:pPr>
  </w:style>
  <w:style w:type="character" w:styleId="797" w:customStyle="1">
    <w:name w:val="Footer Char"/>
    <w:uiPriority w:val="99"/>
  </w:style>
  <w:style w:type="paragraph" w:styleId="798">
    <w:name w:val="Caption"/>
    <w:basedOn w:val="762"/>
    <w:next w:val="762"/>
    <w:link w:val="799"/>
    <w:uiPriority w:val="35"/>
    <w:semiHidden/>
    <w:unhideWhenUsed/>
    <w:qFormat/>
    <w:pPr>
      <w:spacing w:line="276" w:lineRule="auto"/>
    </w:pPr>
    <w:rPr>
      <w:b/>
      <w:color w:val="4f81bd" w:themeColor="accent1"/>
      <w:sz w:val="18"/>
      <w:szCs w:val="18"/>
    </w:rPr>
  </w:style>
  <w:style w:type="character" w:styleId="799" w:customStyle="1">
    <w:name w:val="Название объекта Знак"/>
    <w:link w:val="798"/>
    <w:uiPriority w:val="35"/>
    <w:rPr>
      <w:b/>
      <w:bCs/>
      <w:color w:val="4f81bd" w:themeColor="accent1"/>
      <w:sz w:val="18"/>
      <w:szCs w:val="18"/>
    </w:rPr>
  </w:style>
  <w:style w:type="table" w:styleId="800">
    <w:name w:val="Table Grid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1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2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803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804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5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07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9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30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31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32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33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34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35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36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37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38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39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40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41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42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43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44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45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46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47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48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49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0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1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2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3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4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5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6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64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65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66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67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68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69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70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85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86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87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88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89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90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91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92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93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94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95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96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97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98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99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0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1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2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3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4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5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06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07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08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09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10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11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12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13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14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15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16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17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18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19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20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21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22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23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24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25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26">
    <w:name w:val="Hyperlink"/>
    <w:uiPriority w:val="99"/>
    <w:unhideWhenUsed/>
    <w:rPr>
      <w:color w:val="0000ff"/>
      <w:u w:val="single"/>
    </w:rPr>
  </w:style>
  <w:style w:type="paragraph" w:styleId="927">
    <w:name w:val="footnote text"/>
    <w:basedOn w:val="762"/>
    <w:link w:val="928"/>
    <w:uiPriority w:val="99"/>
    <w:semiHidden/>
    <w:unhideWhenUsed/>
    <w:pPr>
      <w:spacing w:after="40"/>
    </w:pPr>
    <w:rPr>
      <w:sz w:val="18"/>
    </w:rPr>
  </w:style>
  <w:style w:type="character" w:styleId="928" w:customStyle="1">
    <w:name w:val="Текст сноски Знак"/>
    <w:link w:val="927"/>
    <w:uiPriority w:val="99"/>
    <w:rPr>
      <w:sz w:val="18"/>
    </w:rPr>
  </w:style>
  <w:style w:type="character" w:styleId="929">
    <w:name w:val="footnote reference"/>
    <w:uiPriority w:val="99"/>
    <w:unhideWhenUsed/>
    <w:rPr>
      <w:vertAlign w:val="superscript"/>
    </w:rPr>
  </w:style>
  <w:style w:type="paragraph" w:styleId="930">
    <w:name w:val="endnote text"/>
    <w:basedOn w:val="762"/>
    <w:link w:val="931"/>
    <w:uiPriority w:val="99"/>
    <w:semiHidden/>
    <w:unhideWhenUsed/>
    <w:rPr>
      <w:sz w:val="20"/>
    </w:rPr>
  </w:style>
  <w:style w:type="character" w:styleId="931" w:customStyle="1">
    <w:name w:val="Текст концевой сноски Знак"/>
    <w:link w:val="930"/>
    <w:uiPriority w:val="99"/>
    <w:rPr>
      <w:sz w:val="20"/>
    </w:rPr>
  </w:style>
  <w:style w:type="character" w:styleId="932">
    <w:name w:val="endnote reference"/>
    <w:uiPriority w:val="99"/>
    <w:semiHidden/>
    <w:unhideWhenUsed/>
    <w:rPr>
      <w:vertAlign w:val="superscript"/>
    </w:rPr>
  </w:style>
  <w:style w:type="paragraph" w:styleId="933">
    <w:name w:val="toc 1"/>
    <w:basedOn w:val="762"/>
    <w:next w:val="762"/>
    <w:uiPriority w:val="39"/>
    <w:unhideWhenUsed/>
    <w:pPr>
      <w:spacing w:after="57"/>
    </w:pPr>
  </w:style>
  <w:style w:type="paragraph" w:styleId="934">
    <w:name w:val="toc 2"/>
    <w:basedOn w:val="762"/>
    <w:next w:val="762"/>
    <w:uiPriority w:val="39"/>
    <w:unhideWhenUsed/>
    <w:pPr>
      <w:ind w:left="283"/>
      <w:spacing w:after="57"/>
    </w:pPr>
  </w:style>
  <w:style w:type="paragraph" w:styleId="935">
    <w:name w:val="toc 3"/>
    <w:basedOn w:val="762"/>
    <w:next w:val="762"/>
    <w:uiPriority w:val="39"/>
    <w:unhideWhenUsed/>
    <w:pPr>
      <w:ind w:left="567"/>
      <w:spacing w:after="57"/>
    </w:pPr>
  </w:style>
  <w:style w:type="paragraph" w:styleId="936">
    <w:name w:val="toc 4"/>
    <w:basedOn w:val="762"/>
    <w:next w:val="762"/>
    <w:uiPriority w:val="39"/>
    <w:unhideWhenUsed/>
    <w:pPr>
      <w:ind w:left="850"/>
      <w:spacing w:after="57"/>
    </w:pPr>
  </w:style>
  <w:style w:type="paragraph" w:styleId="937">
    <w:name w:val="toc 5"/>
    <w:basedOn w:val="762"/>
    <w:next w:val="762"/>
    <w:uiPriority w:val="39"/>
    <w:unhideWhenUsed/>
    <w:pPr>
      <w:ind w:left="1134"/>
      <w:spacing w:after="57"/>
    </w:pPr>
  </w:style>
  <w:style w:type="paragraph" w:styleId="938">
    <w:name w:val="toc 6"/>
    <w:basedOn w:val="762"/>
    <w:next w:val="762"/>
    <w:uiPriority w:val="39"/>
    <w:unhideWhenUsed/>
    <w:pPr>
      <w:ind w:left="1417"/>
      <w:spacing w:after="57"/>
    </w:pPr>
  </w:style>
  <w:style w:type="paragraph" w:styleId="939">
    <w:name w:val="toc 7"/>
    <w:basedOn w:val="762"/>
    <w:next w:val="762"/>
    <w:uiPriority w:val="39"/>
    <w:unhideWhenUsed/>
    <w:pPr>
      <w:ind w:left="1701"/>
      <w:spacing w:after="57"/>
    </w:pPr>
  </w:style>
  <w:style w:type="paragraph" w:styleId="940">
    <w:name w:val="toc 8"/>
    <w:basedOn w:val="762"/>
    <w:next w:val="762"/>
    <w:uiPriority w:val="39"/>
    <w:unhideWhenUsed/>
    <w:pPr>
      <w:ind w:left="1984"/>
      <w:spacing w:after="57"/>
    </w:pPr>
  </w:style>
  <w:style w:type="paragraph" w:styleId="941">
    <w:name w:val="toc 9"/>
    <w:basedOn w:val="762"/>
    <w:next w:val="762"/>
    <w:uiPriority w:val="39"/>
    <w:unhideWhenUsed/>
    <w:pPr>
      <w:ind w:left="2268"/>
      <w:spacing w:after="57"/>
    </w:pPr>
  </w:style>
  <w:style w:type="paragraph" w:styleId="942">
    <w:name w:val="TOC Heading"/>
    <w:uiPriority w:val="39"/>
    <w:unhideWhenUsed/>
  </w:style>
  <w:style w:type="paragraph" w:styleId="943">
    <w:name w:val="table of figures"/>
    <w:basedOn w:val="762"/>
    <w:next w:val="762"/>
    <w:uiPriority w:val="99"/>
    <w:unhideWhenUsed/>
  </w:style>
  <w:style w:type="character" w:styleId="944">
    <w:name w:val="page number"/>
    <w:basedOn w:val="772"/>
  </w:style>
  <w:style w:type="paragraph" w:styleId="945">
    <w:name w:val="Body Text Indent"/>
    <w:basedOn w:val="762"/>
    <w:pPr>
      <w:ind w:firstLine="720"/>
      <w:jc w:val="both"/>
    </w:pPr>
  </w:style>
  <w:style w:type="paragraph" w:styleId="946">
    <w:name w:val="Block Text"/>
    <w:basedOn w:val="762"/>
    <w:pPr>
      <w:ind w:left="-142" w:right="-2" w:firstLine="142"/>
      <w:jc w:val="both"/>
    </w:pPr>
    <w:rPr>
      <w:bCs w:val="0"/>
      <w:sz w:val="26"/>
    </w:rPr>
  </w:style>
  <w:style w:type="paragraph" w:styleId="947">
    <w:name w:val="Body Text"/>
    <w:basedOn w:val="762"/>
    <w:pPr>
      <w:jc w:val="both"/>
    </w:pPr>
    <w:rPr>
      <w:b/>
      <w:bCs w:val="0"/>
      <w:sz w:val="24"/>
    </w:rPr>
  </w:style>
  <w:style w:type="paragraph" w:styleId="948">
    <w:name w:val="Body Text 2"/>
    <w:basedOn w:val="762"/>
    <w:pPr>
      <w:ind w:right="-2"/>
      <w:jc w:val="both"/>
    </w:pPr>
  </w:style>
  <w:style w:type="paragraph" w:styleId="949">
    <w:name w:val="Body Text Indent 2"/>
    <w:basedOn w:val="762"/>
    <w:pPr>
      <w:ind w:right="-2" w:firstLine="75"/>
      <w:jc w:val="both"/>
    </w:pPr>
  </w:style>
  <w:style w:type="paragraph" w:styleId="950">
    <w:name w:val="Body Text Indent 3"/>
    <w:basedOn w:val="762"/>
    <w:pPr>
      <w:ind w:right="-2" w:firstLine="737"/>
      <w:jc w:val="both"/>
    </w:pPr>
  </w:style>
  <w:style w:type="character" w:styleId="951" w:customStyle="1">
    <w:name w:val="Заголовок 1 Знак"/>
    <w:link w:val="763"/>
    <w:rPr>
      <w:b/>
      <w:sz w:val="18"/>
    </w:rPr>
  </w:style>
  <w:style w:type="paragraph" w:styleId="952">
    <w:name w:val="Balloon Text"/>
    <w:basedOn w:val="762"/>
    <w:link w:val="953"/>
    <w:rPr>
      <w:rFonts w:cs="Segoe UI"/>
      <w:sz w:val="24"/>
      <w:szCs w:val="18"/>
    </w:rPr>
  </w:style>
  <w:style w:type="character" w:styleId="953" w:customStyle="1">
    <w:name w:val="Текст выноски Знак"/>
    <w:link w:val="952"/>
    <w:rPr>
      <w:rFonts w:cs="Segoe UI"/>
      <w:bCs/>
      <w:color w:val="000000"/>
      <w:sz w:val="24"/>
      <w:szCs w:val="18"/>
    </w:rPr>
  </w:style>
  <w:style w:type="character" w:styleId="954">
    <w:name w:val="annotation reference"/>
    <w:rPr>
      <w:sz w:val="16"/>
      <w:szCs w:val="16"/>
    </w:rPr>
  </w:style>
  <w:style w:type="paragraph" w:styleId="955">
    <w:name w:val="annotation text"/>
    <w:basedOn w:val="762"/>
    <w:link w:val="956"/>
    <w:rPr>
      <w:sz w:val="20"/>
    </w:rPr>
  </w:style>
  <w:style w:type="character" w:styleId="956" w:customStyle="1">
    <w:name w:val="Текст примечания Знак"/>
    <w:link w:val="955"/>
    <w:rPr>
      <w:bCs/>
      <w:color w:val="000000"/>
    </w:rPr>
  </w:style>
  <w:style w:type="paragraph" w:styleId="957">
    <w:name w:val="annotation subject"/>
    <w:basedOn w:val="955"/>
    <w:next w:val="955"/>
    <w:link w:val="958"/>
    <w:rPr>
      <w:b/>
    </w:rPr>
  </w:style>
  <w:style w:type="character" w:styleId="958" w:customStyle="1">
    <w:name w:val="Тема примечания Знак"/>
    <w:link w:val="957"/>
    <w:rPr>
      <w:b/>
      <w:bCs/>
      <w:color w:val="000000"/>
    </w:rPr>
  </w:style>
  <w:style w:type="paragraph" w:styleId="959" w:customStyle="1">
    <w:name w:val="ConsPlusNormal"/>
    <w:pPr>
      <w:widowControl w:val="off"/>
    </w:pPr>
    <w:rPr>
      <w:sz w:val="24"/>
      <w:szCs w:val="24"/>
      <w:lang w:eastAsia="ru-RU"/>
    </w:rPr>
  </w:style>
  <w:style w:type="paragraph" w:styleId="960">
    <w:name w:val="Revision"/>
    <w:hidden/>
    <w:uiPriority w:val="99"/>
    <w:semiHidden/>
    <w:rPr>
      <w:bCs/>
      <w:color w:val="000000"/>
      <w:sz w:val="28"/>
      <w:lang w:eastAsia="ru-RU"/>
    </w:rPr>
  </w:style>
  <w:style w:type="character" w:styleId="961" w:customStyle="1">
    <w:name w:val="Нижний колонтитул Знак"/>
    <w:link w:val="796"/>
    <w:uiPriority w:val="99"/>
    <w:rPr>
      <w:bCs/>
      <w:color w:val="000000"/>
      <w:sz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energosbyt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3</dc:title>
  <dc:creator>energosbyt</dc:creator>
  <cp:lastModifiedBy>efremov_ym</cp:lastModifiedBy>
  <cp:revision>4</cp:revision>
  <dcterms:created xsi:type="dcterms:W3CDTF">2026-05-29T02:24:00Z</dcterms:created>
  <dcterms:modified xsi:type="dcterms:W3CDTF">2026-05-29T07:54:42Z</dcterms:modified>
  <cp:version>1048576</cp:version>
</cp:coreProperties>
</file>