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E15" w:rsidRDefault="00714E15" w:rsidP="00714E15">
      <w:pPr>
        <w:pStyle w:val="a3"/>
        <w:tabs>
          <w:tab w:val="left" w:pos="1134"/>
          <w:tab w:val="left" w:pos="1766"/>
        </w:tabs>
        <w:ind w:left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ПЕРЕЧЕНЬ ДОКУМЕНТОВ ДЛЯ ЗАКЛЮЧЕНИЯ ДОГОВОРА ЭНЕРГОСНАБЖЕНИЯ С ИСПОЛНИТЕЛЯМИ КОММУНАЛЬНЫХ УСЛУГ (УПРАВЛЯЮЩИЕ ОРГАНИЗАЦИИ, ТОВАРИЩЕСТВА СОБСТВЕННИКОВ ЖИЛЬЯ, ЖИЛИЩНЫЕ КООПЕРАТИВЫ И ИНЫЕ СПЕЦИАЛИЗИРОВАННЫЕ ПОТРЕБИТЕЛЬСКИЕ КООПЕРАТИВЫ)</w:t>
      </w:r>
    </w:p>
    <w:p w:rsidR="00714E15" w:rsidRDefault="00714E15" w:rsidP="00714E15">
      <w:pPr>
        <w:pStyle w:val="a3"/>
        <w:tabs>
          <w:tab w:val="left" w:pos="993"/>
          <w:tab w:val="left" w:pos="1766"/>
        </w:tabs>
        <w:ind w:left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4"/>
        <w:gridCol w:w="2018"/>
        <w:gridCol w:w="1399"/>
        <w:gridCol w:w="559"/>
        <w:gridCol w:w="335"/>
        <w:gridCol w:w="2199"/>
        <w:gridCol w:w="2291"/>
      </w:tblGrid>
      <w:tr w:rsidR="00714E15" w:rsidTr="00F479B8"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eastAsiaTheme="minorHAnsi" w:hAnsi="Liberation Serif" w:cs="Liberation Serif"/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0" w:type="auto"/>
            <w:gridSpan w:val="5"/>
            <w:vAlign w:val="center"/>
          </w:tcPr>
          <w:p w:rsidR="00714E15" w:rsidRDefault="00714E15" w:rsidP="00F479B8">
            <w:pPr>
              <w:ind w:firstLine="708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>
              <w:rPr>
                <w:rFonts w:ascii="Liberation Serif" w:eastAsiaTheme="minorHAnsi" w:hAnsi="Liberation Serif" w:cs="Liberation Serif"/>
                <w:b/>
                <w:color w:val="000000"/>
                <w:lang w:eastAsia="en-US"/>
              </w:rPr>
              <w:t>Наименование документа</w:t>
            </w:r>
            <w:r>
              <w:rPr>
                <w:rFonts w:ascii="Liberation Serif" w:eastAsiaTheme="minorHAnsi" w:hAnsi="Liberation Serif" w:cs="Liberation Serif"/>
                <w:b/>
                <w:color w:val="000000"/>
                <w:vertAlign w:val="superscript"/>
                <w:lang w:eastAsia="en-US"/>
              </w:rPr>
              <w:t>1</w:t>
            </w:r>
            <w:r>
              <w:rPr>
                <w:rFonts w:eastAsiaTheme="minorHAnsi"/>
                <w:b/>
                <w:color w:val="000000"/>
                <w:vertAlign w:val="superscript"/>
                <w:lang w:eastAsia="en-US"/>
              </w:rPr>
              <w:t>, 6, 7</w:t>
            </w:r>
          </w:p>
        </w:tc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eastAsiaTheme="minorHAnsi" w:hAnsi="Liberation Serif" w:cs="Liberation Serif"/>
                <w:b/>
                <w:color w:val="000000"/>
                <w:lang w:eastAsia="en-US"/>
              </w:rPr>
              <w:t>Обязательность предоставления</w:t>
            </w:r>
          </w:p>
        </w:tc>
      </w:tr>
      <w:tr w:rsidR="00714E15" w:rsidTr="00F479B8">
        <w:tc>
          <w:tcPr>
            <w:tcW w:w="0" w:type="auto"/>
            <w:vMerge w:val="restart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468" w:type="dxa"/>
            <w:gridSpan w:val="2"/>
            <w:vMerge w:val="restart"/>
            <w:vAlign w:val="center"/>
          </w:tcPr>
          <w:p w:rsidR="00714E15" w:rsidRDefault="00714E15" w:rsidP="00F479B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Заявление о заключении соответствующего договора, содержащее обязательные реквизиты потребителя</w:t>
            </w:r>
          </w:p>
        </w:tc>
        <w:tc>
          <w:tcPr>
            <w:tcW w:w="3468" w:type="dxa"/>
            <w:gridSpan w:val="3"/>
          </w:tcPr>
          <w:p w:rsidR="00714E15" w:rsidRDefault="00714E15" w:rsidP="00F479B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ЮЛ: полное наименование, основной государственный регистрационный номер и идентификационный номер налогоплательщика</w:t>
            </w:r>
          </w:p>
        </w:tc>
        <w:tc>
          <w:tcPr>
            <w:tcW w:w="0" w:type="auto"/>
            <w:vMerge w:val="restart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Обязательно</w:t>
            </w:r>
          </w:p>
        </w:tc>
      </w:tr>
      <w:tr w:rsidR="00714E15" w:rsidTr="00F479B8"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468" w:type="dxa"/>
            <w:gridSpan w:val="2"/>
            <w:vMerge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3468" w:type="dxa"/>
            <w:gridSpan w:val="3"/>
          </w:tcPr>
          <w:p w:rsidR="00714E15" w:rsidRDefault="00714E15" w:rsidP="00F479B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ИП: </w:t>
            </w:r>
            <w:r>
              <w:rPr>
                <w:rFonts w:ascii="Liberation Serif" w:hAnsi="Liberation Serif" w:cs="Liberation Serif"/>
              </w:rPr>
              <w:t>фамилия, имя, отчество (при наличии) физического лица, серия, номер и дата выдачи паспорта или иного документа, удостоверяющего личность гражданина на территории Российской Федерации, адрес регистрации по месту жительства, основной государственный регистрационный номер индивидуального предпринимателя и идентификационный номер налогоплательщика</w:t>
            </w:r>
          </w:p>
        </w:tc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</w:tr>
      <w:tr w:rsidR="00714E15" w:rsidTr="00F479B8"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0" w:type="auto"/>
            <w:gridSpan w:val="5"/>
          </w:tcPr>
          <w:p w:rsidR="00714E15" w:rsidRDefault="00714E15" w:rsidP="00F479B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Подписанный Заявителем проект договора энергоснабжения или протокол разногласий к проекту договора, форма которого размещена (опубликована) гарантирующим поставщиком в центре очного обслуживания и (или) на своём сайте в сети «Интернет»</w:t>
            </w:r>
          </w:p>
        </w:tc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Предоставляется по желанию Заявителя</w:t>
            </w:r>
          </w:p>
        </w:tc>
      </w:tr>
      <w:tr w:rsidR="00714E15" w:rsidTr="00F479B8"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0" w:type="auto"/>
            <w:gridSpan w:val="5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Лицензия на осуществление предпринимательской деятельности по управлению многоквартирными домами и решение органа государственного жилищного надзора о внесении изменений в реестр лицензий субъекта Российской Федерации (для управляющих организаций)</w:t>
            </w:r>
          </w:p>
        </w:tc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Обязательно</w:t>
            </w:r>
          </w:p>
        </w:tc>
      </w:tr>
      <w:tr w:rsidR="00714E15" w:rsidTr="00F479B8">
        <w:tc>
          <w:tcPr>
            <w:tcW w:w="0" w:type="auto"/>
            <w:vMerge w:val="restart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590" w:type="dxa"/>
            <w:gridSpan w:val="4"/>
            <w:vMerge w:val="restart"/>
            <w:vAlign w:val="center"/>
          </w:tcPr>
          <w:p w:rsidR="00714E15" w:rsidRDefault="00714E15" w:rsidP="00F479B8">
            <w:pPr>
              <w:tabs>
                <w:tab w:val="left" w:pos="1425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Документы, подтверждающие полномочия лица на подписание договора</w:t>
            </w:r>
          </w:p>
        </w:tc>
        <w:tc>
          <w:tcPr>
            <w:tcW w:w="2346" w:type="dxa"/>
          </w:tcPr>
          <w:p w:rsidR="00714E15" w:rsidRDefault="00714E15" w:rsidP="00F479B8">
            <w:pPr>
              <w:tabs>
                <w:tab w:val="left" w:pos="1425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Протокол (решение, приказ) или выписка из протокола (решения, приказа) о назначении руководителя</w:t>
            </w:r>
          </w:p>
        </w:tc>
        <w:tc>
          <w:tcPr>
            <w:tcW w:w="0" w:type="auto"/>
            <w:vMerge w:val="restart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Обязательно</w:t>
            </w:r>
          </w:p>
        </w:tc>
      </w:tr>
      <w:tr w:rsidR="00714E15" w:rsidTr="00F479B8"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90" w:type="dxa"/>
            <w:gridSpan w:val="4"/>
            <w:vMerge/>
          </w:tcPr>
          <w:p w:rsidR="00714E15" w:rsidRDefault="00714E15" w:rsidP="00F479B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346" w:type="dxa"/>
          </w:tcPr>
          <w:p w:rsidR="00714E15" w:rsidRDefault="00714E15" w:rsidP="00F479B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Доверенность на подписание договора, если договор </w:t>
            </w: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lastRenderedPageBreak/>
              <w:t>подписывает не руководитель</w:t>
            </w:r>
          </w:p>
        </w:tc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714E15" w:rsidTr="00F479B8"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90" w:type="dxa"/>
            <w:gridSpan w:val="4"/>
            <w:vMerge/>
          </w:tcPr>
          <w:p w:rsidR="00714E15" w:rsidRDefault="00714E15" w:rsidP="00F479B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346" w:type="dxa"/>
          </w:tcPr>
          <w:p w:rsidR="00714E15" w:rsidRDefault="00714E15" w:rsidP="00F479B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 или гражданин</w:t>
            </w:r>
          </w:p>
        </w:tc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714E15" w:rsidTr="00F479B8">
        <w:trPr>
          <w:trHeight w:val="636"/>
        </w:trPr>
        <w:tc>
          <w:tcPr>
            <w:tcW w:w="0" w:type="auto"/>
            <w:vMerge w:val="restart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158" w:type="dxa"/>
            <w:vMerge w:val="restart"/>
            <w:vAlign w:val="center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Документы, подтверждающие наличие у Заявителя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</w:t>
            </w:r>
          </w:p>
          <w:p w:rsidR="00714E15" w:rsidRDefault="00714E15" w:rsidP="00F479B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32" w:type="dxa"/>
            <w:gridSpan w:val="3"/>
            <w:vMerge w:val="restart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Управляющая организация</w:t>
            </w:r>
          </w:p>
        </w:tc>
        <w:tc>
          <w:tcPr>
            <w:tcW w:w="2346" w:type="dxa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Если собственниками  помещений в многоквартирном доме в качестве способа управления выбрано управление управляющей организацией - 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</w:t>
            </w: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lastRenderedPageBreak/>
              <w:t>обращается с заявлением, а также договор управления многоквартирным домом (если таковой заключён)</w:t>
            </w:r>
          </w:p>
        </w:tc>
        <w:tc>
          <w:tcPr>
            <w:tcW w:w="0" w:type="auto"/>
            <w:vMerge w:val="restart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lastRenderedPageBreak/>
              <w:t>Обязательно</w:t>
            </w:r>
          </w:p>
        </w:tc>
      </w:tr>
      <w:tr w:rsidR="00714E15" w:rsidTr="00F479B8">
        <w:trPr>
          <w:trHeight w:val="633"/>
        </w:trPr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58" w:type="dxa"/>
            <w:vMerge/>
          </w:tcPr>
          <w:p w:rsidR="00714E15" w:rsidRDefault="00714E15" w:rsidP="00F479B8">
            <w:pP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2432" w:type="dxa"/>
            <w:gridSpan w:val="3"/>
            <w:vMerge/>
          </w:tcPr>
          <w:p w:rsidR="00714E15" w:rsidRDefault="00714E15" w:rsidP="00F479B8">
            <w:pP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2346" w:type="dxa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Если управляющая организация выбрана по конкурсу уполномоченным органом государственной власти в случаях, предусмотренных жилищным законодательством РФ - протокол открытого конкурса по выбору управляющей организации и (или) договор управления многоквартирным домом (если таковой заключён)</w:t>
            </w:r>
          </w:p>
        </w:tc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14E15" w:rsidTr="00F479B8">
        <w:trPr>
          <w:trHeight w:val="633"/>
        </w:trPr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58" w:type="dxa"/>
            <w:vMerge/>
          </w:tcPr>
          <w:p w:rsidR="00714E15" w:rsidRDefault="00714E15" w:rsidP="00F479B8">
            <w:pP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2432" w:type="dxa"/>
            <w:gridSpan w:val="3"/>
            <w:vMerge/>
          </w:tcPr>
          <w:p w:rsidR="00714E15" w:rsidRDefault="00714E15" w:rsidP="00F479B8">
            <w:pP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2346" w:type="dxa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Если управляющая организация привлечена для управления многоквартирным домом товариществом или кооперативом - протокол общего собрания собственников помещений в многоквартирном доме, на котором принято решение о выборе управляющей организации и (или) договор управления многоквартирным домом, заключённый </w:t>
            </w: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lastRenderedPageBreak/>
              <w:t>между товариществом или кооперативом и управляющей организацией</w:t>
            </w:r>
          </w:p>
        </w:tc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14E15" w:rsidTr="00F479B8">
        <w:trPr>
          <w:trHeight w:val="633"/>
        </w:trPr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58" w:type="dxa"/>
            <w:vMerge/>
          </w:tcPr>
          <w:p w:rsidR="00714E15" w:rsidRDefault="00714E15" w:rsidP="00F479B8">
            <w:pP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2432" w:type="dxa"/>
            <w:gridSpan w:val="3"/>
            <w:vMerge/>
          </w:tcPr>
          <w:p w:rsidR="00714E15" w:rsidRDefault="00714E15" w:rsidP="00F479B8">
            <w:pP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2346" w:type="dxa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Если управляющая организация привлечена для управления многоквартирным домом застройщиком – договор управления многоквартирным домом</w:t>
            </w:r>
          </w:p>
        </w:tc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14E15" w:rsidTr="00F479B8">
        <w:trPr>
          <w:trHeight w:val="1861"/>
        </w:trPr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58" w:type="dxa"/>
            <w:vMerge/>
          </w:tcPr>
          <w:p w:rsidR="00714E15" w:rsidRDefault="00714E15" w:rsidP="00F479B8">
            <w:pP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2432" w:type="dxa"/>
            <w:gridSpan w:val="3"/>
            <w:vMerge w:val="restart"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>ТСЖ, ЖК и иные специализированные потребительские кооперативы</w:t>
            </w:r>
          </w:p>
        </w:tc>
        <w:tc>
          <w:tcPr>
            <w:tcW w:w="2346" w:type="dxa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Протокол общего собрания собственников помещений в многоквартирном доме, в котором создано товарищество, или протокол общего собрания членов кооператива, в которых зафиксировано (отражено) решение о выборе в качестве способа управления многоквартирным домом управление соответственно товариществом или кооперативом</w:t>
            </w:r>
          </w:p>
        </w:tc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14E15" w:rsidTr="00F479B8">
        <w:trPr>
          <w:trHeight w:val="1861"/>
        </w:trPr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58" w:type="dxa"/>
            <w:vMerge/>
          </w:tcPr>
          <w:p w:rsidR="00714E15" w:rsidRDefault="00714E15" w:rsidP="00F479B8">
            <w:pP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2432" w:type="dxa"/>
            <w:gridSpan w:val="3"/>
            <w:vMerge/>
          </w:tcPr>
          <w:p w:rsidR="00714E15" w:rsidRDefault="00714E15" w:rsidP="00F479B8">
            <w:pP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2346" w:type="dxa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Устав</w:t>
            </w:r>
          </w:p>
        </w:tc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14E15" w:rsidTr="00F479B8">
        <w:trPr>
          <w:trHeight w:val="345"/>
        </w:trPr>
        <w:tc>
          <w:tcPr>
            <w:tcW w:w="0" w:type="auto"/>
            <w:vMerge w:val="restart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590" w:type="dxa"/>
            <w:gridSpan w:val="4"/>
            <w:vAlign w:val="center"/>
          </w:tcPr>
          <w:p w:rsidR="00714E15" w:rsidRDefault="00714E15" w:rsidP="00F479B8">
            <w:pP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Документы, подтверждающие технологическое присоединение (в том числе и опосредованно)</w:t>
            </w:r>
          </w:p>
        </w:tc>
        <w:tc>
          <w:tcPr>
            <w:tcW w:w="2346" w:type="dxa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Акт о технологическом присоединении и (или) акт разграничения балансовой </w:t>
            </w: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lastRenderedPageBreak/>
              <w:t>принадлежности электросетей</w:t>
            </w:r>
          </w:p>
        </w:tc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lastRenderedPageBreak/>
              <w:t>Обязательно</w:t>
            </w:r>
            <w:r>
              <w:rPr>
                <w:rFonts w:ascii="Liberation Serif" w:eastAsiaTheme="minorHAnsi" w:hAnsi="Liberation Serif" w:cs="Liberation Serif"/>
                <w:color w:val="000000"/>
                <w:vertAlign w:val="superscript"/>
                <w:lang w:eastAsia="en-US"/>
              </w:rPr>
              <w:t>2, 3</w:t>
            </w:r>
          </w:p>
        </w:tc>
      </w:tr>
      <w:tr w:rsidR="00714E15" w:rsidTr="00F479B8">
        <w:trPr>
          <w:trHeight w:val="345"/>
        </w:trPr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936" w:type="dxa"/>
            <w:gridSpan w:val="5"/>
            <w:vAlign w:val="center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Копия заключённого договора об осуществлении технологического присоединения к электрическим сетям сетевой организации соответствующих энергопринимающих устройств, в котором срок осуществления мероприятий по технологическому присоединению соответствующих энергопринимающих устройств на дату направления документов не истёк</w:t>
            </w:r>
          </w:p>
        </w:tc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Обязательно к предоставлению в случае заключения договора энергоснабжения до завершения процедуры технологического присоединения энергопринимающих устройств</w:t>
            </w:r>
          </w:p>
        </w:tc>
      </w:tr>
      <w:tr w:rsidR="00714E15" w:rsidTr="00F479B8">
        <w:trPr>
          <w:trHeight w:val="345"/>
        </w:trPr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6936" w:type="dxa"/>
            <w:gridSpan w:val="5"/>
            <w:vAlign w:val="center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Документы об установке и приёме в эксплуатацию коллективного (общедомового) прибора учёта</w:t>
            </w:r>
            <w:r>
              <w:rPr>
                <w:rFonts w:ascii="Liberation Serif" w:eastAsiaTheme="minorHAnsi" w:hAnsi="Liberation Serif" w:cs="Liberation Serif"/>
                <w:color w:val="000000"/>
                <w:vertAlign w:val="superscript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Предоставляется при наличии у Заявителя прибора учёта</w:t>
            </w:r>
          </w:p>
        </w:tc>
      </w:tr>
      <w:tr w:rsidR="00714E15" w:rsidTr="00F479B8">
        <w:trPr>
          <w:trHeight w:val="345"/>
        </w:trPr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6936" w:type="dxa"/>
            <w:gridSpan w:val="5"/>
            <w:vAlign w:val="center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Документ, подтверждающий наличие технологической и (или) аварийной брони</w:t>
            </w:r>
            <w:r>
              <w:rPr>
                <w:rFonts w:ascii="Liberation Serif" w:eastAsiaTheme="minorHAnsi" w:hAnsi="Liberation Serif" w:cs="Liberation Serif"/>
                <w:color w:val="000000"/>
                <w:vertAlign w:val="superscript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Предоставляется при его наличии у Заявителя</w:t>
            </w:r>
          </w:p>
        </w:tc>
      </w:tr>
      <w:tr w:rsidR="00714E15" w:rsidTr="00F479B8">
        <w:trPr>
          <w:trHeight w:val="305"/>
        </w:trPr>
        <w:tc>
          <w:tcPr>
            <w:tcW w:w="0" w:type="auto"/>
            <w:vMerge w:val="restart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4231" w:type="dxa"/>
            <w:gridSpan w:val="3"/>
            <w:vMerge w:val="restart"/>
            <w:vAlign w:val="center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Иные документы, необходимые для заключения договора оказания услуг по передаче электрической энергии в соответствии с Правилами недискриминационного доступа к услугам по передаче электрической энергии и оказания этих услуг</w:t>
            </w:r>
          </w:p>
        </w:tc>
        <w:tc>
          <w:tcPr>
            <w:tcW w:w="2705" w:type="dxa"/>
            <w:gridSpan w:val="2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Документы, подтверждающие величину максимальной мощности энергопринимающих устройств, в отношении которых Заявитель намерен заключить договор, с её распределением по точкам поставки  </w:t>
            </w:r>
          </w:p>
        </w:tc>
        <w:tc>
          <w:tcPr>
            <w:tcW w:w="0" w:type="auto"/>
            <w:vAlign w:val="center"/>
          </w:tcPr>
          <w:p w:rsidR="00714E15" w:rsidRDefault="00DF436F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Обязательно, в случае отсутствия указанной информации в документах, подтверждающих технологическое присоединение (в том числе и опосредованно)</w:t>
            </w:r>
          </w:p>
        </w:tc>
      </w:tr>
      <w:tr w:rsidR="00714E15" w:rsidTr="00F479B8">
        <w:trPr>
          <w:trHeight w:val="305"/>
        </w:trPr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31" w:type="dxa"/>
            <w:gridSpan w:val="3"/>
            <w:vMerge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2705" w:type="dxa"/>
            <w:gridSpan w:val="2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Однолинейная схема электрической сети Заявителя с указанием точек присоединения к объектам электросетевого хозяйства</w:t>
            </w:r>
          </w:p>
        </w:tc>
        <w:tc>
          <w:tcPr>
            <w:tcW w:w="0" w:type="auto"/>
            <w:vAlign w:val="center"/>
          </w:tcPr>
          <w:p w:rsidR="00714E15" w:rsidRDefault="00DF436F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Предоставляется при наличии у Заявителя</w:t>
            </w:r>
          </w:p>
        </w:tc>
      </w:tr>
      <w:tr w:rsidR="00714E15" w:rsidTr="00F479B8">
        <w:trPr>
          <w:trHeight w:val="305"/>
        </w:trPr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bookmarkStart w:id="0" w:name="_GoBack" w:colFirst="3" w:colLast="3"/>
          </w:p>
        </w:tc>
        <w:tc>
          <w:tcPr>
            <w:tcW w:w="4231" w:type="dxa"/>
            <w:gridSpan w:val="3"/>
            <w:vMerge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2705" w:type="dxa"/>
            <w:gridSpan w:val="2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Документы, содержащие описание приборов учёта, установленных в отношении энергопринимающих устройств, с указанием типов приборов учёта и их классов точности, мест их установки, заводских номеров, даты предыдущей и </w:t>
            </w: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lastRenderedPageBreak/>
              <w:t xml:space="preserve">очередной государственной поверки, </w:t>
            </w:r>
            <w:proofErr w:type="spellStart"/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межповерочного</w:t>
            </w:r>
            <w:proofErr w:type="spellEnd"/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 интервала</w:t>
            </w:r>
          </w:p>
        </w:tc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lastRenderedPageBreak/>
              <w:t>Предоставляется при наличии у Заявителя приборов учёта и отсутствия указанных данных в акте допуска прибора учёта в эксплуатацию</w:t>
            </w:r>
          </w:p>
        </w:tc>
      </w:tr>
      <w:bookmarkEnd w:id="0"/>
      <w:tr w:rsidR="00714E15" w:rsidTr="00F479B8">
        <w:trPr>
          <w:trHeight w:val="305"/>
        </w:trPr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6936" w:type="dxa"/>
            <w:gridSpan w:val="5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Документы, содержащие сведения о размере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</w:t>
            </w:r>
          </w:p>
        </w:tc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Обязательно</w:t>
            </w:r>
          </w:p>
        </w:tc>
      </w:tr>
      <w:tr w:rsidR="00714E15" w:rsidTr="00F479B8">
        <w:trPr>
          <w:trHeight w:val="305"/>
        </w:trPr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6936" w:type="dxa"/>
            <w:gridSpan w:val="5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Протокол общего собрания собственников помещений в многоквартирном доме, на котором принято решение о заключении собственниками помещений в многоквартирном доме договора электроснабжения с ресурсоснабжающей организацией (если такое решение принято)</w:t>
            </w:r>
          </w:p>
        </w:tc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Обязательно, если такое решение принято </w:t>
            </w:r>
          </w:p>
        </w:tc>
      </w:tr>
      <w:tr w:rsidR="00714E15" w:rsidTr="00F479B8">
        <w:trPr>
          <w:trHeight w:val="305"/>
        </w:trPr>
        <w:tc>
          <w:tcPr>
            <w:tcW w:w="0" w:type="auto"/>
            <w:vMerge w:val="restart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6936" w:type="dxa"/>
            <w:gridSpan w:val="5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>Фамилия, имя, отчество (при наличии), дата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</w:t>
            </w:r>
          </w:p>
        </w:tc>
        <w:tc>
          <w:tcPr>
            <w:tcW w:w="0" w:type="auto"/>
            <w:vMerge w:val="restart"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Обязательно, если представлен протокол, указанный в п. 11</w:t>
            </w:r>
          </w:p>
        </w:tc>
      </w:tr>
      <w:tr w:rsidR="00714E15" w:rsidTr="00F479B8">
        <w:trPr>
          <w:trHeight w:val="305"/>
        </w:trPr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936" w:type="dxa"/>
            <w:gridSpan w:val="5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>Адреса жилых помещений в многоквартирном доме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расчёта платы за коммунальные услуги</w:t>
            </w:r>
          </w:p>
        </w:tc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</w:tr>
      <w:tr w:rsidR="00714E15" w:rsidTr="00F479B8">
        <w:trPr>
          <w:trHeight w:val="305"/>
        </w:trPr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936" w:type="dxa"/>
            <w:gridSpan w:val="5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>Сведения о наличии и типе установленных в жилых помещениях индивидуальных, общих (квартирных), комнатных приборов учёта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учёта, дате опломбирования приборов учёта, на основании показаний которых производится расчёт платы за коммунальные услуги, а также их показания за 12 расчётных периодов, предшествующих дате предоставления таких сведений</w:t>
            </w:r>
          </w:p>
        </w:tc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</w:tr>
      <w:tr w:rsidR="00714E15" w:rsidTr="00F479B8">
        <w:trPr>
          <w:trHeight w:val="305"/>
        </w:trPr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936" w:type="dxa"/>
            <w:gridSpan w:val="5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учёта в жилых помещениях многоквартирного дома</w:t>
            </w:r>
          </w:p>
        </w:tc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</w:tr>
      <w:tr w:rsidR="00714E15" w:rsidTr="00F479B8">
        <w:trPr>
          <w:trHeight w:val="305"/>
        </w:trPr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936" w:type="dxa"/>
            <w:gridSpan w:val="5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</w:t>
            </w:r>
          </w:p>
        </w:tc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</w:tr>
      <w:tr w:rsidR="00714E15" w:rsidTr="00F479B8">
        <w:trPr>
          <w:trHeight w:val="305"/>
        </w:trPr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936" w:type="dxa"/>
            <w:gridSpan w:val="5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lang w:eastAsia="en-US"/>
              </w:rPr>
              <w:t xml:space="preserve">Сведения о жилых помещениях, в отношении которых введено ограничение или приостановление предоставления </w:t>
            </w:r>
            <w:r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 xml:space="preserve">коммунальной услуги по </w:t>
            </w:r>
            <w:r>
              <w:rPr>
                <w:rFonts w:ascii="Liberation Serif" w:hAnsi="Liberation Serif" w:cs="Liberation Serif"/>
              </w:rPr>
              <w:t>электроснабжению</w:t>
            </w:r>
            <w:r>
              <w:rPr>
                <w:rFonts w:ascii="Liberation Serif" w:eastAsiaTheme="minorHAnsi" w:hAnsi="Liberation Serif" w:cs="Liberation Serif"/>
                <w:lang w:eastAsia="en-US"/>
              </w:rPr>
              <w:t xml:space="preserve"> в случае неполной оплаты коммунальной услуги на дату предоставления сведений, а также сведения об устранении оснований для введения такого ограничения или приостановления</w:t>
            </w:r>
          </w:p>
        </w:tc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</w:tr>
      <w:tr w:rsidR="00714E15" w:rsidTr="00F479B8">
        <w:trPr>
          <w:trHeight w:val="305"/>
        </w:trPr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936" w:type="dxa"/>
            <w:gridSpan w:val="5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lang w:eastAsia="en-US"/>
              </w:rPr>
              <w:t xml:space="preserve">Сведения о случаях, периодах и основаниях перерасчёта размера платы за коммунальную услугу по </w:t>
            </w:r>
            <w:r>
              <w:rPr>
                <w:rFonts w:ascii="Liberation Serif" w:hAnsi="Liberation Serif" w:cs="Liberation Serif"/>
              </w:rPr>
              <w:t>электроснабжению</w:t>
            </w:r>
            <w:r>
              <w:rPr>
                <w:rFonts w:ascii="Liberation Serif" w:eastAsiaTheme="minorHAnsi" w:hAnsi="Liberation Serif" w:cs="Liberation Serif"/>
                <w:lang w:eastAsia="en-US"/>
              </w:rPr>
              <w:t xml:space="preserve">, предоставленные потребителю, копии документов, подтверждающих право потребителя на перерасчёт размера платы в соответствии с </w:t>
            </w:r>
            <w:r>
              <w:rPr>
                <w:rFonts w:ascii="Liberation Serif" w:hAnsi="Liberation Serif" w:cs="Liberation Serif"/>
              </w:rPr>
              <w:t>Правилами предоставления коммунальных услуг собственникам и пользователям помещений в многоквартирных домах и жилых домов, утверждёнными постановлением Правительства Российской Федерации от 06.05.2011 г. № 354</w:t>
            </w:r>
            <w:r>
              <w:rPr>
                <w:rFonts w:ascii="Liberation Serif" w:eastAsiaTheme="minorHAnsi" w:hAnsi="Liberation Serif" w:cs="Liberation Serif"/>
                <w:lang w:eastAsia="en-US"/>
              </w:rPr>
              <w:t>, за предыдущие 12 месяцев</w:t>
            </w:r>
          </w:p>
        </w:tc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</w:tr>
      <w:tr w:rsidR="00714E15" w:rsidTr="00F479B8">
        <w:trPr>
          <w:trHeight w:val="305"/>
        </w:trPr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936" w:type="dxa"/>
            <w:gridSpan w:val="5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>Реквизиты документов, подтверждающих право собственности на каждое жилое помещение в многоквартирном доме и (или) их копии (при их наличии)</w:t>
            </w:r>
          </w:p>
        </w:tc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</w:tr>
      <w:tr w:rsidR="00714E15" w:rsidTr="00F479B8">
        <w:trPr>
          <w:trHeight w:val="305"/>
        </w:trPr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6936" w:type="dxa"/>
            <w:gridSpan w:val="5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Акты осмотра/ввода индивидуальных приборов учёта в эксплуатацию с указанием типа, заводского номера, класса точности, номинального тока, номера пломбы, года поверки и показаний</w:t>
            </w:r>
          </w:p>
        </w:tc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Обязательно, если представлен протокол, указанный в п. 11</w:t>
            </w:r>
          </w:p>
        </w:tc>
      </w:tr>
    </w:tbl>
    <w:p w:rsidR="00714E15" w:rsidRDefault="00714E15" w:rsidP="00714E15">
      <w:pPr>
        <w:pStyle w:val="a3"/>
        <w:tabs>
          <w:tab w:val="left" w:pos="1134"/>
          <w:tab w:val="left" w:pos="1766"/>
        </w:tabs>
        <w:ind w:left="0" w:firstLine="709"/>
        <w:jc w:val="both"/>
        <w:rPr>
          <w:rFonts w:ascii="Liberation Serif" w:hAnsi="Liberation Serif" w:cs="Liberation Serif"/>
        </w:rPr>
      </w:pPr>
    </w:p>
    <w:p w:rsidR="00714E15" w:rsidRDefault="00714E15" w:rsidP="00714E1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>Заявитель, в случае если прошло не более 3 лет со дня расторжения договора энергоснабжения (купли-продажи (поставки) электрической энергии (мощности)), ранее заключённого им с Обществом, с которым он имеет намерение заключить договор вновь, направляет Обществу заявление о заключении соответствующего договора с приложением документов, указанных в пунктах 2-5 настоящего перечня. Иные документы, в соответствии с настоящим перечнем, Заявитель предоставляет только в том случае, если они не были ранее предоставлены Обществу или в них были внесены изменения после их предоставления Обществу при заключении предыдущего договора. В этом случае при заключении договора Общество использует документы, имеющиеся у него в отношении соответствующей точки поставки потребителя.</w:t>
      </w:r>
    </w:p>
    <w:p w:rsidR="00714E15" w:rsidRDefault="00714E15" w:rsidP="00714E1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Акт о технологическом присоединении и (или) Акт разграничения балансовой принадлежности электросетей не предоставляются в случаях отсутствия таких документов у Заявителя и наличия документов,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документов, либо в случае направления документов, для заключения соответствующего договора до завершения процедуры технологического присоединения энергопринимающих устройств потребителя. </w:t>
      </w:r>
    </w:p>
    <w:p w:rsidR="00714E15" w:rsidRDefault="00714E15" w:rsidP="00714E1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 Заявитель, в случае если сетевая организация или иной владелец объектов электросетевого хозяйства, к которым присоединены энергопринимающие устройства, в отношении которых подано заявление о заключении договора, отказывается или уклоняется от составления и предоставления заявителю документов, подтверждающих технологическое присоединение и (или) разграничение балансовой принадлежности, направляет Обществу заявление о заключении договора с приложением к нему документов, имеющихся у Заявителя на дату направления заявления, а также документов,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документов.</w:t>
      </w:r>
    </w:p>
    <w:p w:rsidR="00714E15" w:rsidRDefault="00714E15" w:rsidP="00714E15">
      <w:pPr>
        <w:pStyle w:val="a3"/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>Если подключение (технологическое присоединение) многоквартирного дома (жилого дома) к электросети осуществлено до 28.02.2006, документы, подтверждающие факт такого подключения, прилагаются к заявлению при их наличии.</w:t>
      </w:r>
    </w:p>
    <w:p w:rsidR="00714E15" w:rsidRDefault="00714E15" w:rsidP="00714E1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lastRenderedPageBreak/>
        <w:t>Документом об установке и приёме в эксплуатацию приборов является акт допуска прибора учёта в эксплуатацию, составленный в соответствии с разделом X Основных положений, а если допуск в эксплуатацию прибора учёта был осуществлён до вступления в силу Основных положений, то документ, который подтверждал факт допуска в эксплуатацию прибора учёта, установленного в отношении соответствующей точки поставки, и был подписан гарантирующим поставщиком (энергосбытовой, энергоснабжающей организацией) и (или) сетевой организацией.</w:t>
      </w:r>
    </w:p>
    <w:p w:rsidR="00714E15" w:rsidRDefault="00714E15" w:rsidP="00714E1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 Документом, подтверждающим наличие технологической и (или) аварийной брони, является акт согласования технологической и (или) аварийной брони, составленный (изменённый) и согласованный в порядке, установленном Правилами недискриминационного доступа, потребителем и сетевой организацией (иным владельцем объектов электросетевого хозяйства, производителем электрической энергии (мощности)), к чьим объектам электросетевого хозяйства (энергетическим установкам) присоединены энергопринимающие устройства потребителя.</w:t>
      </w:r>
    </w:p>
    <w:p w:rsidR="00714E15" w:rsidRDefault="00714E15" w:rsidP="00714E15">
      <w:pPr>
        <w:pStyle w:val="a3"/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В случае если акт согласования технологической и (или) аварийной брони составлен (изменён) и согласован позднее даты заключения договора энергоснабжения (купли-продажи (поставки) электрической энергии (мощности)), то такой акт подлежит предоставлению гарантирующему поставщику в соответствии с требованиями </w:t>
      </w:r>
      <w:proofErr w:type="spellStart"/>
      <w:r>
        <w:rPr>
          <w:rFonts w:ascii="Liberation Serif" w:eastAsiaTheme="minorHAnsi" w:hAnsi="Liberation Serif" w:cs="Liberation Serif"/>
          <w:color w:val="000000"/>
          <w:lang w:eastAsia="en-US"/>
        </w:rPr>
        <w:t>абз</w:t>
      </w:r>
      <w:proofErr w:type="spellEnd"/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. 4 пункта 40 и </w:t>
      </w:r>
      <w:proofErr w:type="spellStart"/>
      <w:r>
        <w:rPr>
          <w:rFonts w:ascii="Liberation Serif" w:eastAsiaTheme="minorHAnsi" w:hAnsi="Liberation Serif" w:cs="Liberation Serif"/>
          <w:color w:val="000000"/>
          <w:lang w:eastAsia="en-US"/>
        </w:rPr>
        <w:t>абз</w:t>
      </w:r>
      <w:proofErr w:type="spellEnd"/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. 8 пункта 43 Основных положений. </w:t>
      </w:r>
    </w:p>
    <w:p w:rsidR="00714E15" w:rsidRDefault="00714E15" w:rsidP="00714E1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 Документы, прилагаемые к заявлению о заключении договора, кроме проекта договора, подаются в виде копий, подписанных уполномоченным лицом Заявителя и заверенных печатью заявителя (при наличии печати), если Заявителем является юридическое лицо, или подписанных гражданином, если Заявителем выступает индивидуальный предприниматель.</w:t>
      </w:r>
    </w:p>
    <w:p w:rsidR="00714E15" w:rsidRDefault="00714E15" w:rsidP="00714E15">
      <w:pPr>
        <w:pStyle w:val="a3"/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>Заявитель вправе представить копии таких документов, заверенные лицом, уполномоченным в соответствии с законодательством Российской Федерации на совершение действий по их заверению.</w:t>
      </w:r>
    </w:p>
    <w:p w:rsidR="00CB51D3" w:rsidRPr="00714E15" w:rsidRDefault="00714E15" w:rsidP="00714E1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>Заявитель при подаче заявления и документов в месте нахождения Общества вправе представить неподписанные и незаверенные копии документов, прилагаемых к заявлению, с одновременным предъявлением оригиналов таких документов. В этом случае в момент принятия заявления и документов от Заявителя Общество обязано произвести сверку идентичности копий и оригиналов представленных документов, после чего на копиях таких документов Обществом делаются отметки о соответствии подлинности копий документов оригиналам и оригиналы возвращаются Заявителю.</w:t>
      </w:r>
    </w:p>
    <w:sectPr w:rsidR="00CB51D3" w:rsidRPr="0071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221B6"/>
    <w:multiLevelType w:val="hybridMultilevel"/>
    <w:tmpl w:val="FA08D03E"/>
    <w:lvl w:ilvl="0" w:tplc="62C45024">
      <w:start w:val="1"/>
      <w:numFmt w:val="decimal"/>
      <w:lvlText w:val="%1)"/>
      <w:lvlJc w:val="left"/>
      <w:pPr>
        <w:ind w:left="1429" w:hanging="360"/>
      </w:pPr>
    </w:lvl>
    <w:lvl w:ilvl="1" w:tplc="0BCCD704">
      <w:start w:val="1"/>
      <w:numFmt w:val="lowerLetter"/>
      <w:lvlText w:val="%2."/>
      <w:lvlJc w:val="left"/>
      <w:pPr>
        <w:ind w:left="2149" w:hanging="360"/>
      </w:pPr>
    </w:lvl>
    <w:lvl w:ilvl="2" w:tplc="40B84AFE">
      <w:start w:val="1"/>
      <w:numFmt w:val="lowerRoman"/>
      <w:lvlText w:val="%3."/>
      <w:lvlJc w:val="right"/>
      <w:pPr>
        <w:ind w:left="2869" w:hanging="180"/>
      </w:pPr>
    </w:lvl>
    <w:lvl w:ilvl="3" w:tplc="7EAE3DE0">
      <w:start w:val="1"/>
      <w:numFmt w:val="decimal"/>
      <w:lvlText w:val="%4."/>
      <w:lvlJc w:val="left"/>
      <w:pPr>
        <w:ind w:left="3589" w:hanging="360"/>
      </w:pPr>
    </w:lvl>
    <w:lvl w:ilvl="4" w:tplc="200CE47A">
      <w:start w:val="1"/>
      <w:numFmt w:val="lowerLetter"/>
      <w:lvlText w:val="%5."/>
      <w:lvlJc w:val="left"/>
      <w:pPr>
        <w:ind w:left="4309" w:hanging="360"/>
      </w:pPr>
    </w:lvl>
    <w:lvl w:ilvl="5" w:tplc="BF2471C4">
      <w:start w:val="1"/>
      <w:numFmt w:val="lowerRoman"/>
      <w:lvlText w:val="%6."/>
      <w:lvlJc w:val="right"/>
      <w:pPr>
        <w:ind w:left="5029" w:hanging="180"/>
      </w:pPr>
    </w:lvl>
    <w:lvl w:ilvl="6" w:tplc="D7081016">
      <w:start w:val="1"/>
      <w:numFmt w:val="decimal"/>
      <w:lvlText w:val="%7."/>
      <w:lvlJc w:val="left"/>
      <w:pPr>
        <w:ind w:left="5749" w:hanging="360"/>
      </w:pPr>
    </w:lvl>
    <w:lvl w:ilvl="7" w:tplc="92DC9C86">
      <w:start w:val="1"/>
      <w:numFmt w:val="lowerLetter"/>
      <w:lvlText w:val="%8."/>
      <w:lvlJc w:val="left"/>
      <w:pPr>
        <w:ind w:left="6469" w:hanging="360"/>
      </w:pPr>
    </w:lvl>
    <w:lvl w:ilvl="8" w:tplc="71960BF6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15"/>
    <w:rsid w:val="00586675"/>
    <w:rsid w:val="00714E15"/>
    <w:rsid w:val="00825B97"/>
    <w:rsid w:val="00D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21109-8995-433C-9E28-B756DA28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E15"/>
    <w:pPr>
      <w:ind w:left="720"/>
      <w:contextualSpacing/>
    </w:pPr>
  </w:style>
  <w:style w:type="table" w:styleId="a4">
    <w:name w:val="Table Grid"/>
    <w:basedOn w:val="a1"/>
    <w:uiPriority w:val="59"/>
    <w:rsid w:val="00714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Мащенко Татьяна Николаевна</dc:creator>
  <cp:keywords/>
  <dc:description/>
  <cp:lastModifiedBy>Мащенко Татьяна Николаевна</cp:lastModifiedBy>
  <cp:revision>2</cp:revision>
  <dcterms:created xsi:type="dcterms:W3CDTF">2024-08-29T06:43:00Z</dcterms:created>
  <dcterms:modified xsi:type="dcterms:W3CDTF">2024-12-09T06:35:00Z</dcterms:modified>
</cp:coreProperties>
</file>