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E15" w:rsidRDefault="00714E15" w:rsidP="00714E15">
      <w:pPr>
        <w:pStyle w:val="a3"/>
        <w:tabs>
          <w:tab w:val="left" w:pos="1134"/>
          <w:tab w:val="left" w:pos="1766"/>
        </w:tabs>
        <w:ind w:left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ПЕРЕЧЕНЬ ДОКУМЕНТОВ ДЛЯ ЗАКЛЮЧЕНИЯ ДОГОВОРА ЭНЕРГОСНАБЖЕНИЯ С ИСПОЛНИТЕЛЯМИ КОММУНАЛЬНЫХ УСЛУГ (УПРАВЛЯЮЩИЕ ОРГАНИЗАЦИИ, ТОВАРИЩЕСТВА СОБСТВЕННИКОВ ЖИЛЬЯ, ЖИЛИЩНЫЕ КООПЕРАТИВЫ И ИНЫЕ СПЕЦИАЛИЗИРОВАННЫЕ ПОТРЕБИТЕЛЬСКИЕ КООПЕРАТИВЫ)</w:t>
      </w:r>
    </w:p>
    <w:p w:rsidR="00714E15" w:rsidRDefault="00714E15" w:rsidP="00714E15">
      <w:pPr>
        <w:pStyle w:val="a3"/>
        <w:tabs>
          <w:tab w:val="left" w:pos="993"/>
          <w:tab w:val="left" w:pos="1766"/>
        </w:tabs>
        <w:ind w:left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"/>
        <w:gridCol w:w="2018"/>
        <w:gridCol w:w="1399"/>
        <w:gridCol w:w="559"/>
        <w:gridCol w:w="335"/>
        <w:gridCol w:w="2199"/>
        <w:gridCol w:w="2291"/>
      </w:tblGrid>
      <w:tr w:rsidR="00714E15" w:rsidTr="00F479B8"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0" w:type="auto"/>
            <w:gridSpan w:val="5"/>
            <w:vAlign w:val="center"/>
          </w:tcPr>
          <w:p w:rsidR="00714E15" w:rsidRDefault="00714E15" w:rsidP="00F479B8">
            <w:pPr>
              <w:ind w:firstLine="708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>Наименование документа</w:t>
            </w:r>
            <w:r>
              <w:rPr>
                <w:rFonts w:ascii="Liberation Serif" w:eastAsiaTheme="minorHAnsi" w:hAnsi="Liberation Serif" w:cs="Liberation Serif"/>
                <w:b/>
                <w:color w:val="000000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b/>
                <w:color w:val="000000"/>
                <w:vertAlign w:val="superscript"/>
                <w:lang w:eastAsia="en-US"/>
              </w:rPr>
              <w:t>, 6, 7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eastAsiaTheme="minorHAnsi" w:hAnsi="Liberation Serif" w:cs="Liberation Serif"/>
                <w:b/>
                <w:color w:val="000000"/>
                <w:lang w:eastAsia="en-US"/>
              </w:rPr>
              <w:t>Обязательность предоставления</w:t>
            </w:r>
          </w:p>
        </w:tc>
      </w:tr>
      <w:tr w:rsidR="00714E15" w:rsidTr="00F479B8"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468" w:type="dxa"/>
            <w:gridSpan w:val="2"/>
            <w:vMerge w:val="restart"/>
            <w:vAlign w:val="center"/>
          </w:tcPr>
          <w:p w:rsidR="00714E15" w:rsidRDefault="00714E15" w:rsidP="00F479B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Заявление о заключении соответствующего договора, содержащее обязательные реквизиты потребителя</w:t>
            </w:r>
          </w:p>
        </w:tc>
        <w:tc>
          <w:tcPr>
            <w:tcW w:w="3468" w:type="dxa"/>
            <w:gridSpan w:val="3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ЮЛ: полное наименование, основной государственный регистрационный номер и идентификационный номер налогоплательщика</w:t>
            </w:r>
          </w:p>
        </w:tc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714E15" w:rsidTr="00F479B8"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468" w:type="dxa"/>
            <w:gridSpan w:val="2"/>
            <w:vMerge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3468" w:type="dxa"/>
            <w:gridSpan w:val="3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ИП: </w:t>
            </w:r>
            <w:r>
              <w:rPr>
                <w:rFonts w:ascii="Liberation Serif" w:hAnsi="Liberation Serif" w:cs="Liberation Serif"/>
              </w:rPr>
              <w:t>фамилия, имя, отчество (при наличии) физического лица,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0" w:type="auto"/>
            <w:gridSpan w:val="5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Подписанный Заявителем проект договора энергоснабжения или протокол разногласий к проекту договора, форма которого размещена (опубликована) гарантирующим поставщиком в центре очного обслуживания и (или) на своём сайте в сети «Интернет»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по желанию Заявителя</w:t>
            </w:r>
          </w:p>
        </w:tc>
      </w:tr>
      <w:tr w:rsidR="00714E15" w:rsidTr="00F479B8"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0" w:type="auto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(для управляющих организаций)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714E15" w:rsidTr="00F479B8"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590" w:type="dxa"/>
            <w:gridSpan w:val="4"/>
            <w:vMerge w:val="restart"/>
            <w:vAlign w:val="center"/>
          </w:tcPr>
          <w:p w:rsidR="00714E15" w:rsidRDefault="00714E15" w:rsidP="00F479B8"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полномочия лица на подписание договора</w:t>
            </w:r>
          </w:p>
        </w:tc>
        <w:tc>
          <w:tcPr>
            <w:tcW w:w="2346" w:type="dxa"/>
          </w:tcPr>
          <w:p w:rsidR="00714E15" w:rsidRDefault="00714E15" w:rsidP="00F479B8"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Протокол (решение, приказ) или выписка из протокола (решения, приказа) о назначении руководителя</w:t>
            </w:r>
          </w:p>
        </w:tc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714E15" w:rsidTr="00F479B8"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90" w:type="dxa"/>
            <w:gridSpan w:val="4"/>
            <w:vMerge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Доверенность на подписание договора, если договор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подписывает не руководитель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90" w:type="dxa"/>
            <w:gridSpan w:val="4"/>
            <w:vMerge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636"/>
        </w:trPr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58" w:type="dxa"/>
            <w:vMerge w:val="restart"/>
            <w:vAlign w:val="center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наличие у Заявителя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</w:t>
            </w:r>
          </w:p>
          <w:p w:rsidR="00714E15" w:rsidRDefault="00714E15" w:rsidP="00F479B8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32" w:type="dxa"/>
            <w:gridSpan w:val="3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Управляющая организация</w:t>
            </w: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Если собственниками  помещений в многоквартирном доме в качестве способа управления выбрано управление управляющей организацией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обращается с заявлением, а также договор управления многоквартирным домом (если таковой заключён)</w:t>
            </w:r>
          </w:p>
        </w:tc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Обязательно</w:t>
            </w:r>
          </w:p>
        </w:tc>
      </w:tr>
      <w:tr w:rsidR="00714E15" w:rsidTr="00F479B8">
        <w:trPr>
          <w:trHeight w:val="633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Если управляющая организация выбрана по конкурсу уполномоченным органом государственной власти в случаях, предусмотренных жилищным законодательством РФ - протокол открытого конкурса по выбору управляющей организации и (или) договор управления многоквартирным домом (если таковой заключён)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633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Если управляющая организация привлечена для управления многоквартирным домом товариществом или кооперативом - протокол общего собрания собственников помещений в многоквартирном доме, на котором принято решение о выборе управляющей организации и (или) договор управления многоквартирным домом, заключённый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между товариществом или кооперативом и управляющей организацией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633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Если управляющая организация привлечена для управления многоквартирным домом застройщиком – договор управления многоквартирным домом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1861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ТСЖ, ЖК и иные специализированные потребительские кооперативы</w:t>
            </w: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1861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Устав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14E15" w:rsidTr="00F479B8">
        <w:trPr>
          <w:trHeight w:val="345"/>
        </w:trPr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590" w:type="dxa"/>
            <w:gridSpan w:val="4"/>
            <w:vAlign w:val="center"/>
          </w:tcPr>
          <w:p w:rsidR="00714E15" w:rsidRDefault="00714E15" w:rsidP="00F479B8">
            <w:pP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подтверждающие технологическое присоединение (в том числе и опосредованно)</w:t>
            </w:r>
          </w:p>
        </w:tc>
        <w:tc>
          <w:tcPr>
            <w:tcW w:w="2346" w:type="dxa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Акт о технологическом присоединении и (или) акт разграничения балансовой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принадлежности электросетей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Обязательно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2, 3</w:t>
            </w:r>
          </w:p>
        </w:tc>
      </w:tr>
      <w:tr w:rsidR="00714E15" w:rsidTr="00F479B8">
        <w:trPr>
          <w:trHeight w:val="34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  <w:vAlign w:val="center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Копия заключённого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истёк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 к предоставлению в случае заключения договора энергоснабжения до завершения процедуры технологического присоединения энергопринимающих устройств</w:t>
            </w:r>
          </w:p>
        </w:tc>
      </w:tr>
      <w:tr w:rsidR="00714E15" w:rsidTr="00F479B8">
        <w:trPr>
          <w:trHeight w:val="345"/>
        </w:trPr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6936" w:type="dxa"/>
            <w:gridSpan w:val="5"/>
            <w:vAlign w:val="center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 об установке и приёме в эксплуатацию коллективного (общедомового) прибора учёта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наличии у Заявителя прибора учёта</w:t>
            </w:r>
          </w:p>
        </w:tc>
      </w:tr>
      <w:tr w:rsidR="00714E15" w:rsidTr="00F479B8">
        <w:trPr>
          <w:trHeight w:val="345"/>
        </w:trPr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6936" w:type="dxa"/>
            <w:gridSpan w:val="5"/>
            <w:vAlign w:val="center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Документ, подтверждающий наличие технологической и (или) аварийной брони</w:t>
            </w:r>
            <w:r>
              <w:rPr>
                <w:rFonts w:ascii="Liberation Serif" w:eastAsiaTheme="minorHAnsi" w:hAnsi="Liberation Serif" w:cs="Liberation Serif"/>
                <w:color w:val="000000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Предоставляется при его наличии у Заявителя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231" w:type="dxa"/>
            <w:gridSpan w:val="3"/>
            <w:vMerge w:val="restart"/>
            <w:vAlign w:val="center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Иные документы,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</w:t>
            </w:r>
          </w:p>
        </w:tc>
        <w:tc>
          <w:tcPr>
            <w:tcW w:w="2705" w:type="dxa"/>
            <w:gridSpan w:val="2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Документы, подтверждающие величину максимальной мощности энергопринимающих устройств, в отношении которых Заявитель намерен заключить договор, с её распределением по точкам поставки  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31" w:type="dxa"/>
            <w:gridSpan w:val="3"/>
            <w:vMerge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705" w:type="dxa"/>
            <w:gridSpan w:val="2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Однолинейная схема электрической сети Заявителя с указанием точек присоединения к объектам электросетевого хозяйства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31" w:type="dxa"/>
            <w:gridSpan w:val="3"/>
            <w:vMerge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  <w:tc>
          <w:tcPr>
            <w:tcW w:w="2705" w:type="dxa"/>
            <w:gridSpan w:val="2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Документы, содержащие описание приборов учёта, установленных в отношении энергопринимающих устройств, с указанием типов приборов учёта и их классов точности, мест их установки, заводских номеров, даты предыдущей и </w:t>
            </w: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 xml:space="preserve">очередной государственной поверки, </w:t>
            </w:r>
            <w:proofErr w:type="spellStart"/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межповерочного</w:t>
            </w:r>
            <w:proofErr w:type="spellEnd"/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 интервала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lastRenderedPageBreak/>
              <w:t>Предоставляется при наличии у Заявителя приборов учёта и отсутствия указанных данных в акте допуска прибора учёта в эксплуатацию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Протокол общего собрания собственников помещений в многоквартирном доме, на котором принято решение о заключении собственниками помещений в многоквартирном доме договора электроснабжения с ресурсоснабжающей организацией (если такое решение принято)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 xml:space="preserve">Обязательно, если такое решение принято 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</w:t>
            </w:r>
          </w:p>
        </w:tc>
        <w:tc>
          <w:tcPr>
            <w:tcW w:w="0" w:type="auto"/>
            <w:vMerge w:val="restart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Обязательно, если представлен протокол, указанный в п. 11</w:t>
            </w: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Адреса жилых помещений в многоквартирном доме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Сведения о жилых помещениях, в отношении которых введено ограничение или приостановление предоставления 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lastRenderedPageBreak/>
              <w:t xml:space="preserve">коммунальной услуги по </w:t>
            </w:r>
            <w:r>
              <w:rPr>
                <w:rFonts w:ascii="Liberation Serif" w:hAnsi="Liberation Serif" w:cs="Liberation Serif"/>
              </w:rPr>
              <w:t>электроснабжению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 в случае неполной оплаты коммунальной услуги на дату предоставления сведений, а также сведения об устранении оснований для введения такого ограничения или приостановления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Сведения о случаях, периодах и основаниях перерасчёта размера платы за коммунальную услугу по </w:t>
            </w:r>
            <w:r>
              <w:rPr>
                <w:rFonts w:ascii="Liberation Serif" w:hAnsi="Liberation Serif" w:cs="Liberation Serif"/>
              </w:rPr>
              <w:t>электроснабжению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, предоставленные потребителю, копии документов, подтверждающих право потребителя на перерасчёт размера платы в соответствии с </w:t>
            </w:r>
            <w:r>
              <w:rPr>
                <w:rFonts w:ascii="Liberation Serif" w:hAnsi="Liberation Serif" w:cs="Liberation Serif"/>
              </w:rPr>
              <w:t>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г. № 354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>, за предыдущие 12 месяцев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>Реквизиты документов, подтверждающих право собственности на каждое жилое помещение в многоквартирном доме и (или) их копии (при их наличии)</w:t>
            </w:r>
          </w:p>
        </w:tc>
        <w:tc>
          <w:tcPr>
            <w:tcW w:w="0" w:type="auto"/>
            <w:vMerge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</w:p>
        </w:tc>
      </w:tr>
      <w:tr w:rsidR="00714E15" w:rsidTr="00F479B8">
        <w:trPr>
          <w:trHeight w:val="305"/>
        </w:trPr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6936" w:type="dxa"/>
            <w:gridSpan w:val="5"/>
          </w:tcPr>
          <w:p w:rsidR="00714E15" w:rsidRDefault="00714E15" w:rsidP="00F479B8">
            <w:pPr>
              <w:jc w:val="both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Акты осмотра/ввода индивидуальных приборов учёта в эксплуатацию с указанием типа, заводского номера, класса точности, номинального тока, номера пломбы, года поверки и показаний</w:t>
            </w:r>
          </w:p>
        </w:tc>
        <w:tc>
          <w:tcPr>
            <w:tcW w:w="0" w:type="auto"/>
            <w:vAlign w:val="center"/>
          </w:tcPr>
          <w:p w:rsidR="00714E15" w:rsidRDefault="00714E15" w:rsidP="00F479B8">
            <w:pPr>
              <w:jc w:val="center"/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color w:val="000000"/>
                <w:lang w:eastAsia="en-US"/>
              </w:rPr>
              <w:t>Обязательно, если представлен протокол, указанный в п. 11</w:t>
            </w:r>
          </w:p>
        </w:tc>
      </w:tr>
    </w:tbl>
    <w:p w:rsidR="00714E15" w:rsidRDefault="00714E15" w:rsidP="00714E15">
      <w:pPr>
        <w:pStyle w:val="a3"/>
        <w:tabs>
          <w:tab w:val="left" w:pos="1134"/>
          <w:tab w:val="left" w:pos="1766"/>
        </w:tabs>
        <w:ind w:left="0" w:firstLine="709"/>
        <w:jc w:val="both"/>
        <w:rPr>
          <w:rFonts w:ascii="Liberation Serif" w:hAnsi="Liberation Serif" w:cs="Liberation Serif"/>
        </w:rPr>
      </w:pP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Заявитель, в случае если прошло не более 3 лет со дня расторжения договора энергоснабжения (купли-продажи (поставки) электрической энергии (мощности)), ранее заключённого им с Обществом, с которым он имеет намерение заключить договор вновь, направляет Обществу заявление о заключении соответствующего договора с приложением документов, указанных в пунктах 2-5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настоящего перечня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. Иные документы, в соответствии с настоящим перечнем, Заявитель предоставляет только в том случае, если они не были ранее предоставлены Обществу или в них были внесены изменения после их предоставления Обществу при заключении предыдущего договора. В этом случае при заключении договора Общество использует документы, имеющиеся у него в отношении соответствующей точки поставки потребителя.</w:t>
      </w: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Акт о технологическом присоединении и (или) Акт разграничения балансовой принадлежности электросетей не предоставляются в случаях отсутствия таких документов у Заявителя и наличия документов, подтверждающих факт обращения Заявителя к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сетевой организации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или иному владельцу объектов электросетевого хозяйства в целях получения таких документов, либо в случае направления документов, для заключения соответствующего договора до завершения процедуры технологического присоединения энергопринимающих устройств потребителя. </w:t>
      </w: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Заявитель, в случае если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сетевая организация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или иной владелец объектов электросетевого хозяйства, к которым присоединены энергопринимающие устройства, в отношении которых подано заявление о заключении договора, отказывается или уклоняется от составления и предоставления заявителю документов, подтверждающих технологическое присоединение и (или) разграничение балансовой принадлежности, направляет Обществу заявление о заключении договора с приложением к нему документов, имеющихся у Заявителя на дату направления заявления, а также документов, подтверждающих факт обращения Заявителя к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сетевой организации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или иному владельцу объектов электросетевого хозяйства в целях получения таких документов.</w:t>
      </w:r>
    </w:p>
    <w:p w:rsidR="00714E15" w:rsidRDefault="00714E15" w:rsidP="00714E15">
      <w:pPr>
        <w:pStyle w:val="a3"/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Если подключение (технологическое присоединение) многоквартирного дома (жилого дома) к электросети осуществлено до 28.02.2006, документы, подтверждающие факт такого подключения, прилагаются к заявлению при их наличии.</w:t>
      </w: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lastRenderedPageBreak/>
        <w:t xml:space="preserve">Документом об установке и приёме в эксплуатацию приборов является акт допуска прибора учёта в эксплуатацию, составленный в соответствии с разделом X Основных положений, а если допуск в эксплуатацию прибора учёта был осуществлён до вступления в силу Основных положений, то документ, который подтверждал факт допуска в эксплуатацию прибора учёта, установленного в отношении соответствующей точки поставки, и был подписан гарантирующим поставщиком (энергосбытовой, энергоснабжающей организацией) и (или)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сетевой организацией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.</w:t>
      </w: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Документом, подтверждающим наличие технологической и (или) аварийной брони, является акт согласования технологической и (или) аварийной брони, составленный (изменённый) и согласованный в порядке, установленном Правилами недискриминационного доступа, потребителем и </w:t>
      </w:r>
      <w:r>
        <w:rPr>
          <w:rFonts w:ascii="Liberation Serif" w:eastAsiaTheme="minorHAnsi" w:hAnsi="Liberation Serif" w:cs="Liberation Serif"/>
          <w:color w:val="000000"/>
          <w:lang w:eastAsia="en-US"/>
        </w:rPr>
        <w:t>сетевой организацией</w:t>
      </w:r>
      <w:bookmarkStart w:id="0" w:name="_GoBack"/>
      <w:bookmarkEnd w:id="0"/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(иным владельцем объектов электросетевого хозяйства, производителем электрической энергии (мощности)), к чьим объектам электросетевого хозяйства (энергетическим установкам) присоединены энергопринимающие устройства потребителя.</w:t>
      </w:r>
    </w:p>
    <w:p w:rsidR="00714E15" w:rsidRDefault="00714E15" w:rsidP="00714E15">
      <w:pPr>
        <w:pStyle w:val="a3"/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В случае если акт согласования технологической и (или) аварийной брони составлен (изменён) и согласован позднее даты заключения договора энергоснабжения (купли-продажи (поставки) электрической энергии (мощности)), то такой акт подлежит предоставлению гарантирующему поставщику в соответствии с требованиями </w:t>
      </w:r>
      <w:proofErr w:type="spellStart"/>
      <w:r>
        <w:rPr>
          <w:rFonts w:ascii="Liberation Serif" w:eastAsiaTheme="minorHAnsi" w:hAnsi="Liberation Serif" w:cs="Liberation Serif"/>
          <w:color w:val="000000"/>
          <w:lang w:eastAsia="en-US"/>
        </w:rPr>
        <w:t>абз</w:t>
      </w:r>
      <w:proofErr w:type="spellEnd"/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. 4 пункта 40 и </w:t>
      </w:r>
      <w:proofErr w:type="spellStart"/>
      <w:r>
        <w:rPr>
          <w:rFonts w:ascii="Liberation Serif" w:eastAsiaTheme="minorHAnsi" w:hAnsi="Liberation Serif" w:cs="Liberation Serif"/>
          <w:color w:val="000000"/>
          <w:lang w:eastAsia="en-US"/>
        </w:rPr>
        <w:t>абз</w:t>
      </w:r>
      <w:proofErr w:type="spellEnd"/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. 8 пункта 43 Основных положений. </w:t>
      </w:r>
    </w:p>
    <w:p w:rsid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 xml:space="preserve"> Документы, прилагаемые к заявлению о заключении договора, кроме проекта договора,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 w:rsidR="00714E15" w:rsidRDefault="00714E15" w:rsidP="00714E15">
      <w:pPr>
        <w:pStyle w:val="a3"/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:rsidR="00CB51D3" w:rsidRPr="00714E15" w:rsidRDefault="00714E15" w:rsidP="00714E1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eastAsiaTheme="minorHAnsi" w:hAnsi="Liberation Serif" w:cs="Liberation Serif"/>
          <w:color w:val="000000"/>
          <w:lang w:eastAsia="en-US"/>
        </w:rPr>
      </w:pPr>
      <w:r>
        <w:rPr>
          <w:rFonts w:ascii="Liberation Serif" w:eastAsiaTheme="minorHAnsi" w:hAnsi="Liberation Serif" w:cs="Liberation Serif"/>
          <w:color w:val="000000"/>
          <w:lang w:eastAsia="en-US"/>
        </w:rPr>
        <w:t>Заявитель при подаче заявления и документов в месте нахождения Общества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Общество обязано произвести сверку идентичности копий и оригиналов представленных документов, после чего на копиях таких документов Обществом делаются отметки о соответствии подлинности копий документов оригиналам и оригиналы возвращаются Заявителю.</w:t>
      </w:r>
    </w:p>
    <w:sectPr w:rsidR="00CB51D3" w:rsidRPr="0071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221B6"/>
    <w:multiLevelType w:val="hybridMultilevel"/>
    <w:tmpl w:val="FA08D03E"/>
    <w:lvl w:ilvl="0" w:tplc="62C45024">
      <w:start w:val="1"/>
      <w:numFmt w:val="decimal"/>
      <w:lvlText w:val="%1)"/>
      <w:lvlJc w:val="left"/>
      <w:pPr>
        <w:ind w:left="1429" w:hanging="360"/>
      </w:pPr>
    </w:lvl>
    <w:lvl w:ilvl="1" w:tplc="0BCCD704">
      <w:start w:val="1"/>
      <w:numFmt w:val="lowerLetter"/>
      <w:lvlText w:val="%2."/>
      <w:lvlJc w:val="left"/>
      <w:pPr>
        <w:ind w:left="2149" w:hanging="360"/>
      </w:pPr>
    </w:lvl>
    <w:lvl w:ilvl="2" w:tplc="40B84AFE">
      <w:start w:val="1"/>
      <w:numFmt w:val="lowerRoman"/>
      <w:lvlText w:val="%3."/>
      <w:lvlJc w:val="right"/>
      <w:pPr>
        <w:ind w:left="2869" w:hanging="180"/>
      </w:pPr>
    </w:lvl>
    <w:lvl w:ilvl="3" w:tplc="7EAE3DE0">
      <w:start w:val="1"/>
      <w:numFmt w:val="decimal"/>
      <w:lvlText w:val="%4."/>
      <w:lvlJc w:val="left"/>
      <w:pPr>
        <w:ind w:left="3589" w:hanging="360"/>
      </w:pPr>
    </w:lvl>
    <w:lvl w:ilvl="4" w:tplc="200CE47A">
      <w:start w:val="1"/>
      <w:numFmt w:val="lowerLetter"/>
      <w:lvlText w:val="%5."/>
      <w:lvlJc w:val="left"/>
      <w:pPr>
        <w:ind w:left="4309" w:hanging="360"/>
      </w:pPr>
    </w:lvl>
    <w:lvl w:ilvl="5" w:tplc="BF2471C4">
      <w:start w:val="1"/>
      <w:numFmt w:val="lowerRoman"/>
      <w:lvlText w:val="%6."/>
      <w:lvlJc w:val="right"/>
      <w:pPr>
        <w:ind w:left="5029" w:hanging="180"/>
      </w:pPr>
    </w:lvl>
    <w:lvl w:ilvl="6" w:tplc="D7081016">
      <w:start w:val="1"/>
      <w:numFmt w:val="decimal"/>
      <w:lvlText w:val="%7."/>
      <w:lvlJc w:val="left"/>
      <w:pPr>
        <w:ind w:left="5749" w:hanging="360"/>
      </w:pPr>
    </w:lvl>
    <w:lvl w:ilvl="7" w:tplc="92DC9C86">
      <w:start w:val="1"/>
      <w:numFmt w:val="lowerLetter"/>
      <w:lvlText w:val="%8."/>
      <w:lvlJc w:val="left"/>
      <w:pPr>
        <w:ind w:left="6469" w:hanging="360"/>
      </w:pPr>
    </w:lvl>
    <w:lvl w:ilvl="8" w:tplc="71960BF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15"/>
    <w:rsid w:val="00586675"/>
    <w:rsid w:val="00714E15"/>
    <w:rsid w:val="008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635D"/>
  <w15:chartTrackingRefBased/>
  <w15:docId w15:val="{15121109-8995-433C-9E28-B756DA28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15"/>
    <w:pPr>
      <w:ind w:left="720"/>
      <w:contextualSpacing/>
    </w:pPr>
  </w:style>
  <w:style w:type="table" w:styleId="a4">
    <w:name w:val="Table Grid"/>
    <w:basedOn w:val="a1"/>
    <w:uiPriority w:val="59"/>
    <w:rsid w:val="00714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 Татьяна Николаевна</dc:creator>
  <cp:keywords/>
  <dc:description/>
  <cp:lastModifiedBy>Мащенко Татьяна Николаевна</cp:lastModifiedBy>
  <cp:revision>1</cp:revision>
  <dcterms:created xsi:type="dcterms:W3CDTF">2024-08-29T06:43:00Z</dcterms:created>
  <dcterms:modified xsi:type="dcterms:W3CDTF">2024-08-29T06:49:00Z</dcterms:modified>
</cp:coreProperties>
</file>