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CF" w:rsidRPr="00BA2AB1" w:rsidRDefault="00603CCF" w:rsidP="00603CCF">
      <w:pPr>
        <w:spacing w:line="276" w:lineRule="auto"/>
        <w:jc w:val="center"/>
        <w:rPr>
          <w:b/>
          <w:sz w:val="22"/>
          <w:szCs w:val="22"/>
        </w:rPr>
      </w:pPr>
      <w:r w:rsidRPr="00BA2AB1">
        <w:rPr>
          <w:b/>
          <w:sz w:val="22"/>
          <w:szCs w:val="22"/>
        </w:rPr>
        <w:t>ПЕРЕЧЕНЬ ДОКУМЕНТОВ ДЛЯ ЗАКЛЮЧЕНИЯ ДОГОВОРА ЭНЕРГОСНАБЖЕНИЯ</w:t>
      </w:r>
    </w:p>
    <w:p w:rsidR="00603CCF" w:rsidRDefault="00603CCF" w:rsidP="00603CCF">
      <w:pPr>
        <w:jc w:val="center"/>
        <w:rPr>
          <w:b/>
          <w:caps/>
          <w:sz w:val="22"/>
          <w:szCs w:val="22"/>
        </w:rPr>
      </w:pPr>
      <w:r w:rsidRPr="00BA2AB1">
        <w:rPr>
          <w:b/>
          <w:caps/>
          <w:sz w:val="22"/>
          <w:szCs w:val="22"/>
        </w:rPr>
        <w:t>(купли-продажи электрической энергии)</w:t>
      </w:r>
    </w:p>
    <w:p w:rsidR="00603CCF" w:rsidRDefault="00603CCF" w:rsidP="00603CCF"/>
    <w:tbl>
      <w:tblPr>
        <w:tblStyle w:val="a5"/>
        <w:tblW w:w="9906" w:type="dxa"/>
        <w:tblLook w:val="04A0" w:firstRow="1" w:lastRow="0" w:firstColumn="1" w:lastColumn="0" w:noHBand="0" w:noVBand="1"/>
      </w:tblPr>
      <w:tblGrid>
        <w:gridCol w:w="560"/>
        <w:gridCol w:w="3237"/>
        <w:gridCol w:w="3711"/>
        <w:gridCol w:w="2398"/>
      </w:tblGrid>
      <w:tr w:rsidR="00603CCF" w:rsidTr="005C7CFA"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6948" w:type="dxa"/>
            <w:gridSpan w:val="2"/>
            <w:vAlign w:val="center"/>
          </w:tcPr>
          <w:p w:rsidR="00603CCF" w:rsidRPr="00AA16BB" w:rsidRDefault="00603CCF" w:rsidP="001B7E9F"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 xml:space="preserve">Наименование </w:t>
            </w:r>
            <w:r w:rsidR="00F953BA">
              <w:rPr>
                <w:rFonts w:eastAsiaTheme="minorHAnsi"/>
                <w:b/>
                <w:color w:val="000000"/>
                <w:lang w:eastAsia="en-US"/>
              </w:rPr>
              <w:t>документа</w:t>
            </w:r>
            <w:r w:rsidR="00F953BA"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>1, 6, 7, 8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Обязательность предоставления</w:t>
            </w:r>
          </w:p>
        </w:tc>
      </w:tr>
      <w:tr w:rsidR="00603CCF" w:rsidTr="005C7CFA"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bookmarkStart w:id="0" w:name="_Hlk165540727"/>
            <w:bookmarkStart w:id="1" w:name="_Hlk165540573"/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  <w:vertAlign w:val="superscript"/>
                <w:lang w:val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  <w:bookmarkEnd w:id="0"/>
          </w:p>
        </w:tc>
      </w:tr>
      <w:tr w:rsidR="00603CCF" w:rsidTr="005C7CFA"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603CCF" w:rsidTr="005C7CFA"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ФЛ: </w:t>
            </w:r>
            <w:r>
              <w:rPr>
                <w:rFonts w:ascii="Liberation Serif" w:hAnsi="Liberation Serif" w:cs="Liberation Serif"/>
              </w:rPr>
              <w:t>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</w:t>
            </w:r>
            <w:bookmarkEnd w:id="1"/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603CCF" w:rsidTr="005C7CFA"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8" w:type="dxa"/>
            <w:gridSpan w:val="2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Подписанный Заявителем проект договора энергоснабжения </w:t>
            </w:r>
            <w:r w:rsidR="00AA16BB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(</w:t>
            </w:r>
            <w:r w:rsidR="00F953BA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купли-продажи (поставки) электрической энергии (мощности))</w:t>
            </w:r>
            <w:r w:rsidR="00AA16BB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по желанию Заявителя</w:t>
            </w:r>
          </w:p>
        </w:tc>
      </w:tr>
      <w:tr w:rsidR="00603CCF" w:rsidTr="005C7CFA"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948" w:type="dxa"/>
            <w:gridSpan w:val="2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Почтовый адрес, контактные телефоны, факс, банковские реквизиты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</w:p>
        </w:tc>
      </w:tr>
      <w:tr w:rsidR="00603CCF" w:rsidTr="005C7CFA"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948" w:type="dxa"/>
            <w:gridSpan w:val="2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мобильного телефона, адрес электронной почты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603CCF" w:rsidTr="005C7CFA"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37" w:type="dxa"/>
            <w:vMerge w:val="restart"/>
            <w:vAlign w:val="center"/>
          </w:tcPr>
          <w:p w:rsidR="00603CCF" w:rsidRDefault="00603CCF" w:rsidP="001B7E9F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полномочия лица на подписание договора</w:t>
            </w:r>
          </w:p>
        </w:tc>
        <w:tc>
          <w:tcPr>
            <w:tcW w:w="3711" w:type="dxa"/>
          </w:tcPr>
          <w:p w:rsidR="00603CCF" w:rsidRDefault="00603CCF" w:rsidP="001B7E9F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603CCF" w:rsidTr="005C7CFA"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Доверенность на подписание договора, если договор подписывает не руководитель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3CCF" w:rsidTr="005C7CFA"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3CCF" w:rsidTr="005C7CFA">
        <w:trPr>
          <w:trHeight w:val="636"/>
        </w:trPr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37" w:type="dxa"/>
            <w:vMerge w:val="restart"/>
            <w:vAlign w:val="center"/>
          </w:tcPr>
          <w:p w:rsidR="00603CCF" w:rsidRDefault="00603CCF" w:rsidP="001B7E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право собственности, аренды или иные права владения и (или) пользования, предусмотренные законодательством Российской Федерации,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</w:p>
        </w:tc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  <w:r w:rsidR="00C30613" w:rsidRPr="00C30613"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9</w:t>
            </w:r>
          </w:p>
        </w:tc>
      </w:tr>
      <w:tr w:rsidR="00603CCF" w:rsidTr="005C7CFA">
        <w:trPr>
          <w:trHeight w:val="633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Выписка из Единого государственного реестра недвижимости или Свидетельство о праве хозяйственного ведения или оперативного управления для объектов нежилого фонда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03CCF" w:rsidTr="005C7CFA">
        <w:trPr>
          <w:trHeight w:val="633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Договор аренды недвижимого имущества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03CCF" w:rsidTr="005C7CFA">
        <w:trPr>
          <w:trHeight w:val="633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Иное</w:t>
            </w:r>
          </w:p>
        </w:tc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30613" w:rsidTr="005C7CFA">
        <w:trPr>
          <w:trHeight w:val="1275"/>
        </w:trPr>
        <w:tc>
          <w:tcPr>
            <w:tcW w:w="0" w:type="auto"/>
            <w:vMerge w:val="restart"/>
            <w:vAlign w:val="center"/>
          </w:tcPr>
          <w:p w:rsidR="00C30613" w:rsidRDefault="00C30613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37" w:type="dxa"/>
            <w:vMerge w:val="restart"/>
            <w:vAlign w:val="center"/>
          </w:tcPr>
          <w:p w:rsidR="00C30613" w:rsidRDefault="00C30613" w:rsidP="001B7E9F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технологическое присоединение (в том числе и опосредованно)</w:t>
            </w:r>
          </w:p>
        </w:tc>
        <w:tc>
          <w:tcPr>
            <w:tcW w:w="3711" w:type="dxa"/>
          </w:tcPr>
          <w:p w:rsidR="00C30613" w:rsidRDefault="00C30613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Акт о технологическом присоединении и (или) акт разграничения балансовой принадлежности электросетей</w:t>
            </w:r>
          </w:p>
        </w:tc>
        <w:tc>
          <w:tcPr>
            <w:tcW w:w="0" w:type="auto"/>
            <w:vAlign w:val="center"/>
          </w:tcPr>
          <w:p w:rsidR="00C30613" w:rsidRDefault="00C30613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2, 3, 9</w:t>
            </w:r>
          </w:p>
        </w:tc>
      </w:tr>
      <w:tr w:rsidR="00C30613" w:rsidTr="00C30613">
        <w:trPr>
          <w:trHeight w:val="868"/>
        </w:trPr>
        <w:tc>
          <w:tcPr>
            <w:tcW w:w="0" w:type="auto"/>
            <w:vMerge/>
            <w:vAlign w:val="center"/>
          </w:tcPr>
          <w:p w:rsidR="00C30613" w:rsidRDefault="00C30613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  <w:vAlign w:val="center"/>
          </w:tcPr>
          <w:p w:rsidR="00C30613" w:rsidRDefault="00C30613" w:rsidP="001B7E9F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C30613" w:rsidRDefault="00C30613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Иной документ, подтверждающий технологическое присоединение</w:t>
            </w:r>
          </w:p>
        </w:tc>
        <w:tc>
          <w:tcPr>
            <w:tcW w:w="0" w:type="auto"/>
            <w:vAlign w:val="center"/>
          </w:tcPr>
          <w:p w:rsidR="00C30613" w:rsidRDefault="00C30613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  <w:r w:rsidRPr="00C30613"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8</w:t>
            </w:r>
          </w:p>
        </w:tc>
      </w:tr>
      <w:tr w:rsidR="00603CCF" w:rsidTr="005C7CFA">
        <w:trPr>
          <w:trHeight w:val="345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48" w:type="dxa"/>
            <w:gridSpan w:val="2"/>
            <w:vAlign w:val="center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</w:t>
            </w:r>
            <w:r w:rsidR="00F953BA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(купли-продажи (поставки) электрической энергии (мощности))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 завершения процедуры технологического присоединения энергопринимающих устройств</w:t>
            </w:r>
          </w:p>
        </w:tc>
      </w:tr>
      <w:tr w:rsidR="00603CCF" w:rsidTr="005C7CFA">
        <w:trPr>
          <w:trHeight w:val="345"/>
        </w:trPr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48" w:type="dxa"/>
            <w:gridSpan w:val="2"/>
            <w:vAlign w:val="center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 о допуске в эксплуатацию приборов учёта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прибора учёта</w:t>
            </w:r>
            <w:r w:rsidR="00C30613" w:rsidRPr="00C30613"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10</w:t>
            </w:r>
          </w:p>
        </w:tc>
      </w:tr>
      <w:tr w:rsidR="00603CCF" w:rsidTr="005C7CFA">
        <w:trPr>
          <w:trHeight w:val="345"/>
        </w:trPr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6948" w:type="dxa"/>
            <w:gridSpan w:val="2"/>
            <w:vAlign w:val="center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Документ, подтверждающий наличие технологической и (или) аварийной брони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его наличии у Заявителя</w:t>
            </w:r>
          </w:p>
        </w:tc>
      </w:tr>
      <w:tr w:rsidR="00603CCF" w:rsidTr="005C7CFA">
        <w:trPr>
          <w:trHeight w:val="305"/>
        </w:trPr>
        <w:tc>
          <w:tcPr>
            <w:tcW w:w="0" w:type="auto"/>
            <w:vMerge w:val="restart"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37" w:type="dxa"/>
            <w:vMerge w:val="restart"/>
            <w:vAlign w:val="center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  <w:r w:rsidR="00F953BA" w:rsidRPr="00F953BA"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9</w:t>
            </w: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 w:rsidR="00603CCF" w:rsidRDefault="00694252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в случае отсутствия указанной информации в документах, подтверждающих технологическое присоединение (в том числе и опосредованно)</w:t>
            </w:r>
          </w:p>
        </w:tc>
      </w:tr>
      <w:tr w:rsidR="00603CCF" w:rsidTr="005C7CFA">
        <w:trPr>
          <w:trHeight w:val="305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 w:rsidR="00603CCF" w:rsidRDefault="00694252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</w:p>
        </w:tc>
      </w:tr>
      <w:tr w:rsidR="00603CCF" w:rsidTr="005C7CFA">
        <w:trPr>
          <w:trHeight w:val="305"/>
        </w:trPr>
        <w:tc>
          <w:tcPr>
            <w:tcW w:w="0" w:type="auto"/>
            <w:vMerge/>
            <w:vAlign w:val="center"/>
          </w:tcPr>
          <w:p w:rsidR="00603CCF" w:rsidRDefault="00603CCF" w:rsidP="001B7E9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7" w:type="dxa"/>
            <w:vMerge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711" w:type="dxa"/>
          </w:tcPr>
          <w:p w:rsidR="00603CCF" w:rsidRDefault="00603CCF" w:rsidP="001B7E9F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</w:t>
            </w:r>
            <w:proofErr w:type="spellStart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межповерочного</w:t>
            </w:r>
            <w:proofErr w:type="spellEnd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 w:rsidR="00603CCF" w:rsidRDefault="00603CCF" w:rsidP="001B7E9F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</w:tbl>
    <w:p w:rsidR="00603CCF" w:rsidRDefault="00603CCF" w:rsidP="00603CCF">
      <w:pPr>
        <w:ind w:firstLine="709"/>
        <w:jc w:val="both"/>
        <w:rPr>
          <w:rFonts w:ascii="Liberation Serif" w:hAnsi="Liberation Serif" w:cs="Liberation Serif"/>
        </w:rPr>
      </w:pPr>
    </w:p>
    <w:p w:rsidR="00603CCF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заключении соответствующего договора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 приложением документов, указанных в пункт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ах 3-6 </w:t>
      </w:r>
      <w:r w:rsidR="00F953BA"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="00F953BA">
        <w:rPr>
          <w:rFonts w:ascii="Liberation Serif" w:eastAsiaTheme="minorHAnsi" w:hAnsi="Liberation Serif" w:cs="Liberation Serif"/>
          <w:color w:val="000000"/>
          <w:lang w:eastAsia="en-US"/>
        </w:rPr>
        <w:t>п</w:t>
      </w:r>
      <w:r w:rsidR="00F953BA" w:rsidRPr="00F953BA">
        <w:rPr>
          <w:rFonts w:ascii="Liberation Serif" w:eastAsiaTheme="minorHAnsi" w:hAnsi="Liberation Serif" w:cs="Liberation Serif"/>
          <w:color w:val="000000"/>
          <w:lang w:eastAsia="en-US"/>
        </w:rPr>
        <w:t>еречня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 Иные документы, в соответствии с настоящим перечнем, Заявитель предоставляет только в том случае, если они не были ранее предоставлены в Общество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неё в отношении соответствующей точки поставки потребителя.</w:t>
      </w:r>
    </w:p>
    <w:p w:rsidR="00603CCF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Заявитель, в случае если </w:t>
      </w:r>
      <w:r w:rsidR="00F953BA">
        <w:rPr>
          <w:rFonts w:ascii="Liberation Serif" w:eastAsiaTheme="minorHAnsi" w:hAnsi="Liberation Serif" w:cs="Liberation Serif"/>
          <w:color w:val="000000"/>
          <w:lang w:eastAsia="en-US"/>
        </w:rPr>
        <w:t>сетевая организация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</w:t>
      </w:r>
      <w:bookmarkStart w:id="2" w:name="_GoBack"/>
      <w:bookmarkEnd w:id="2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у документов, имеющихся у Заявителя на дату направления заявления, а также документов, подтверждающих факт обращения Заявителя к </w:t>
      </w:r>
      <w:r w:rsidR="00F953BA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документов.</w:t>
      </w:r>
    </w:p>
    <w:p w:rsidR="00603CCF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</w:t>
      </w:r>
      <w:r w:rsidR="00F953BA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>договора до завершения процедуры технологического присоединения энергопринимающих устройств потребителя.</w:t>
      </w:r>
    </w:p>
    <w:p w:rsidR="00603CCF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Документом о допуске в эксплуатацию прибора учёта электрической энергии является акт допуска прибора учёта в эксплуатацию, составленный в соответствии с требованиями раздела X Основных положений функционирования розничных рынков электрической энергии, утверждённых постановлением Правительства РФ от 04.05.2012 № 442 (далее – Основные положения), а если допуск в эксплуатацию прибора учёта был осуществлён до вступления в силу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</w:t>
      </w:r>
      <w:r w:rsidR="00252198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организацией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603CCF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РФ от 27.12.2004 № 861 (далее - Правила недискриминационного доступа), потребителем и </w:t>
      </w:r>
      <w:r w:rsidR="00252198"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организацией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 w:rsidR="00603CCF" w:rsidRDefault="00603CCF" w:rsidP="00603CCF">
      <w:pPr>
        <w:pStyle w:val="a3"/>
        <w:tabs>
          <w:tab w:val="left" w:pos="1134"/>
        </w:tabs>
        <w:ind w:left="0" w:firstLine="851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Обществу в соответствии с требованиями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4 пункта 40 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>. 8 пункта 43 Основных положений.</w:t>
      </w:r>
    </w:p>
    <w:p w:rsidR="00603CCF" w:rsidRPr="00F953BA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603CCF" w:rsidRPr="00F953BA" w:rsidRDefault="00603CCF" w:rsidP="00603CCF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603CCF" w:rsidRPr="00F953BA" w:rsidRDefault="00603CCF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p w:rsidR="00252198" w:rsidRDefault="00252198" w:rsidP="00603C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П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ри смене собственника энергопринимающего устройства Заявитель предоставляет документы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: </w:t>
      </w:r>
    </w:p>
    <w:p w:rsidR="00252198" w:rsidRDefault="00252198" w:rsidP="00252198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в</w:t>
      </w:r>
      <w:r w:rsidR="00603CCF"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 случае заключения договора энергоснабжения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-</w:t>
      </w:r>
      <w:r w:rsidR="00603CCF"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 указанные в пунктах 3-6 и 10</w:t>
      </w:r>
      <w:r w:rsidR="00BB3550">
        <w:rPr>
          <w:rFonts w:ascii="Liberation Serif" w:eastAsiaTheme="minorHAnsi" w:hAnsi="Liberation Serif" w:cs="Liberation Serif"/>
          <w:color w:val="000000"/>
          <w:lang w:eastAsia="en-US"/>
        </w:rPr>
        <w:t xml:space="preserve"> настоящего перечня</w:t>
      </w:r>
      <w:r w:rsidR="00603CCF"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. </w:t>
      </w:r>
    </w:p>
    <w:p w:rsidR="00252198" w:rsidRDefault="00252198" w:rsidP="00252198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в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 xml:space="preserve"> случае заключения договора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купли-продажи (поставки) электрической энергии (мощности) – 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указанные в пунктах 3-6</w:t>
      </w:r>
      <w:r w:rsidR="00BB3550">
        <w:rPr>
          <w:rFonts w:ascii="Liberation Serif" w:eastAsiaTheme="minorHAnsi" w:hAnsi="Liberation Serif" w:cs="Liberation Serif"/>
          <w:color w:val="000000"/>
          <w:lang w:eastAsia="en-US"/>
        </w:rPr>
        <w:t xml:space="preserve"> настоящего перечня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603CCF" w:rsidRPr="00F953BA" w:rsidRDefault="00603CCF" w:rsidP="00252198">
      <w:pPr>
        <w:pStyle w:val="a3"/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Иные документы, в соответствии с настоящим перечнем, предоставляются по желанию Заявителя. Также Заявитель вправе предоставить показания приборов учета на дату перехода к нему права собственности на энергопринимающее</w:t>
      </w:r>
      <w:r w:rsidRPr="00252198">
        <w:rPr>
          <w:rFonts w:ascii="Liberation Serif" w:eastAsiaTheme="minorHAnsi" w:hAnsi="Liberation Serif" w:cs="Liberation Serif"/>
          <w:color w:val="000000"/>
          <w:lang w:eastAsia="en-US"/>
        </w:rPr>
        <w:t xml:space="preserve"> </w:t>
      </w:r>
      <w:r w:rsidRPr="00F953BA">
        <w:rPr>
          <w:rFonts w:ascii="Liberation Serif" w:eastAsiaTheme="minorHAnsi" w:hAnsi="Liberation Serif" w:cs="Liberation Serif"/>
          <w:color w:val="000000"/>
          <w:lang w:eastAsia="en-US"/>
        </w:rPr>
        <w:t>устройство, подписанные предыдущим собственником.</w:t>
      </w:r>
    </w:p>
    <w:p w:rsidR="00C30613" w:rsidRDefault="00C30613" w:rsidP="00C3061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В случае направления заявления о заключении договора энергоснабжения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 xml:space="preserve">максимальная мощность которых составляет не более 5 кВт включительно, расположенных на объектах общего имущества в многоквартирном доме при отсутствии документов, предусмотренных пунктом 6 и 7 настоящего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перечня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, представляется копия акта выполненных работ по монтажу или копия описи существующей сети связи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Федерации», подготовленные в соответствии с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постановлением Правительства Российской Федерации от 6 августа 2024 г. N 1055 «Об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доме».</w:t>
      </w:r>
    </w:p>
    <w:p w:rsidR="00F953BA" w:rsidRPr="00F953BA" w:rsidRDefault="00C30613" w:rsidP="00C3061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bookmarkStart w:id="3" w:name="_Hlk175226238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Документы, предусмотренные пунктом 8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настоящего перечня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, представляются оператором связи в отношении энергопринимающих устройств, максимальная мощность которых составляет не более 5 кВт включительно, расположенных на объектах общего имущества в многоквартирном доме, при их наличии.</w:t>
      </w:r>
      <w:bookmarkEnd w:id="3"/>
    </w:p>
    <w:p w:rsidR="00CB51D3" w:rsidRDefault="00547A3A"/>
    <w:sectPr w:rsidR="00CB51D3" w:rsidSect="005C7C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3A" w:rsidRDefault="00547A3A" w:rsidP="00603CCF">
      <w:r>
        <w:separator/>
      </w:r>
    </w:p>
  </w:endnote>
  <w:endnote w:type="continuationSeparator" w:id="0">
    <w:p w:rsidR="00547A3A" w:rsidRDefault="00547A3A" w:rsidP="0060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3A" w:rsidRDefault="00547A3A" w:rsidP="00603CCF">
      <w:r>
        <w:separator/>
      </w:r>
    </w:p>
  </w:footnote>
  <w:footnote w:type="continuationSeparator" w:id="0">
    <w:p w:rsidR="00547A3A" w:rsidRDefault="00547A3A" w:rsidP="0060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2362"/>
    <w:multiLevelType w:val="hybridMultilevel"/>
    <w:tmpl w:val="40BA99AE"/>
    <w:lvl w:ilvl="0" w:tplc="2F761498">
      <w:start w:val="1"/>
      <w:numFmt w:val="decimal"/>
      <w:lvlText w:val="%1)"/>
      <w:lvlJc w:val="left"/>
      <w:pPr>
        <w:ind w:left="1429" w:hanging="360"/>
      </w:pPr>
    </w:lvl>
    <w:lvl w:ilvl="1" w:tplc="6BF04478">
      <w:start w:val="1"/>
      <w:numFmt w:val="lowerLetter"/>
      <w:lvlText w:val="%2."/>
      <w:lvlJc w:val="left"/>
      <w:pPr>
        <w:ind w:left="2149" w:hanging="360"/>
      </w:pPr>
    </w:lvl>
    <w:lvl w:ilvl="2" w:tplc="FC4A4056">
      <w:start w:val="1"/>
      <w:numFmt w:val="lowerRoman"/>
      <w:lvlText w:val="%3."/>
      <w:lvlJc w:val="right"/>
      <w:pPr>
        <w:ind w:left="2869" w:hanging="180"/>
      </w:pPr>
    </w:lvl>
    <w:lvl w:ilvl="3" w:tplc="8FC4C75E">
      <w:start w:val="1"/>
      <w:numFmt w:val="decimal"/>
      <w:lvlText w:val="%4."/>
      <w:lvlJc w:val="left"/>
      <w:pPr>
        <w:ind w:left="3589" w:hanging="360"/>
      </w:pPr>
    </w:lvl>
    <w:lvl w:ilvl="4" w:tplc="037CE76C">
      <w:start w:val="1"/>
      <w:numFmt w:val="lowerLetter"/>
      <w:lvlText w:val="%5."/>
      <w:lvlJc w:val="left"/>
      <w:pPr>
        <w:ind w:left="4309" w:hanging="360"/>
      </w:pPr>
    </w:lvl>
    <w:lvl w:ilvl="5" w:tplc="DACEACAA">
      <w:start w:val="1"/>
      <w:numFmt w:val="lowerRoman"/>
      <w:lvlText w:val="%6."/>
      <w:lvlJc w:val="right"/>
      <w:pPr>
        <w:ind w:left="5029" w:hanging="180"/>
      </w:pPr>
    </w:lvl>
    <w:lvl w:ilvl="6" w:tplc="6EDA3122">
      <w:start w:val="1"/>
      <w:numFmt w:val="decimal"/>
      <w:lvlText w:val="%7."/>
      <w:lvlJc w:val="left"/>
      <w:pPr>
        <w:ind w:left="5749" w:hanging="360"/>
      </w:pPr>
    </w:lvl>
    <w:lvl w:ilvl="7" w:tplc="62F4B9AC">
      <w:start w:val="1"/>
      <w:numFmt w:val="lowerLetter"/>
      <w:lvlText w:val="%8."/>
      <w:lvlJc w:val="left"/>
      <w:pPr>
        <w:ind w:left="6469" w:hanging="360"/>
      </w:pPr>
    </w:lvl>
    <w:lvl w:ilvl="8" w:tplc="6F326E9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377133"/>
    <w:multiLevelType w:val="multilevel"/>
    <w:tmpl w:val="9280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4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5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3702D8B"/>
    <w:multiLevelType w:val="hybridMultilevel"/>
    <w:tmpl w:val="BC8E0484"/>
    <w:lvl w:ilvl="0" w:tplc="BB1E284C">
      <w:start w:val="1"/>
      <w:numFmt w:val="decimal"/>
      <w:lvlText w:val="%1)"/>
      <w:lvlJc w:val="left"/>
      <w:pPr>
        <w:ind w:left="928" w:hanging="360"/>
      </w:pPr>
    </w:lvl>
    <w:lvl w:ilvl="1" w:tplc="352AE982">
      <w:start w:val="1"/>
      <w:numFmt w:val="lowerLetter"/>
      <w:lvlText w:val="%2."/>
      <w:lvlJc w:val="left"/>
      <w:pPr>
        <w:ind w:left="2149" w:hanging="360"/>
      </w:pPr>
    </w:lvl>
    <w:lvl w:ilvl="2" w:tplc="C9B0F592">
      <w:start w:val="1"/>
      <w:numFmt w:val="lowerRoman"/>
      <w:lvlText w:val="%3."/>
      <w:lvlJc w:val="right"/>
      <w:pPr>
        <w:ind w:left="2869" w:hanging="180"/>
      </w:pPr>
    </w:lvl>
    <w:lvl w:ilvl="3" w:tplc="A0AA3FB4">
      <w:start w:val="1"/>
      <w:numFmt w:val="decimal"/>
      <w:lvlText w:val="%4."/>
      <w:lvlJc w:val="left"/>
      <w:pPr>
        <w:ind w:left="3589" w:hanging="360"/>
      </w:pPr>
    </w:lvl>
    <w:lvl w:ilvl="4" w:tplc="487AD092">
      <w:start w:val="1"/>
      <w:numFmt w:val="lowerLetter"/>
      <w:lvlText w:val="%5."/>
      <w:lvlJc w:val="left"/>
      <w:pPr>
        <w:ind w:left="4309" w:hanging="360"/>
      </w:pPr>
    </w:lvl>
    <w:lvl w:ilvl="5" w:tplc="004A55A0">
      <w:start w:val="1"/>
      <w:numFmt w:val="lowerRoman"/>
      <w:lvlText w:val="%6."/>
      <w:lvlJc w:val="right"/>
      <w:pPr>
        <w:ind w:left="5029" w:hanging="180"/>
      </w:pPr>
    </w:lvl>
    <w:lvl w:ilvl="6" w:tplc="5AF02C4C">
      <w:start w:val="1"/>
      <w:numFmt w:val="decimal"/>
      <w:lvlText w:val="%7."/>
      <w:lvlJc w:val="left"/>
      <w:pPr>
        <w:ind w:left="5749" w:hanging="360"/>
      </w:pPr>
    </w:lvl>
    <w:lvl w:ilvl="7" w:tplc="D2C420C8">
      <w:start w:val="1"/>
      <w:numFmt w:val="lowerLetter"/>
      <w:lvlText w:val="%8."/>
      <w:lvlJc w:val="left"/>
      <w:pPr>
        <w:ind w:left="6469" w:hanging="360"/>
      </w:pPr>
    </w:lvl>
    <w:lvl w:ilvl="8" w:tplc="10D8B5D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FA4EEE"/>
    <w:multiLevelType w:val="hybridMultilevel"/>
    <w:tmpl w:val="7BEA377E"/>
    <w:lvl w:ilvl="0" w:tplc="9A48693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CF"/>
    <w:rsid w:val="002146B7"/>
    <w:rsid w:val="00252198"/>
    <w:rsid w:val="003F1BD8"/>
    <w:rsid w:val="00547A3A"/>
    <w:rsid w:val="00586675"/>
    <w:rsid w:val="005C7CFA"/>
    <w:rsid w:val="00603CCF"/>
    <w:rsid w:val="00694252"/>
    <w:rsid w:val="00825B97"/>
    <w:rsid w:val="00AA16BB"/>
    <w:rsid w:val="00BB3550"/>
    <w:rsid w:val="00C30613"/>
    <w:rsid w:val="00F953BA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7DAD"/>
  <w15:chartTrackingRefBased/>
  <w15:docId w15:val="{3F520EA1-379C-405A-960A-875CEDE1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CCF"/>
    <w:pPr>
      <w:ind w:left="720"/>
      <w:contextualSpacing/>
    </w:pPr>
  </w:style>
  <w:style w:type="table" w:styleId="a5">
    <w:name w:val="Table Grid"/>
    <w:basedOn w:val="a1"/>
    <w:uiPriority w:val="59"/>
    <w:rsid w:val="0060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rsid w:val="00603CC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03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03CCF"/>
    <w:rPr>
      <w:vertAlign w:val="superscript"/>
    </w:rPr>
  </w:style>
  <w:style w:type="character" w:customStyle="1" w:styleId="Heading2Char">
    <w:name w:val="Heading 2 Char"/>
    <w:basedOn w:val="a0"/>
    <w:uiPriority w:val="9"/>
    <w:rsid w:val="00C30613"/>
    <w:rPr>
      <w:rFonts w:ascii="Arial" w:eastAsia="Arial" w:hAnsi="Arial" w:cs="Arial"/>
      <w:sz w:val="34"/>
    </w:rPr>
  </w:style>
  <w:style w:type="character" w:customStyle="1" w:styleId="a4">
    <w:name w:val="Абзац списка Знак"/>
    <w:link w:val="a3"/>
    <w:uiPriority w:val="34"/>
    <w:rsid w:val="00C30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6</cp:revision>
  <dcterms:created xsi:type="dcterms:W3CDTF">2024-08-29T02:39:00Z</dcterms:created>
  <dcterms:modified xsi:type="dcterms:W3CDTF">2024-12-09T06:10:00Z</dcterms:modified>
</cp:coreProperties>
</file>